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header-first.xml" ContentType="application/vnd.openxmlformats-officedocument.wordprocessingml.header+xml"/>
  <Override PartName="/word/footer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Doc" Type="http://schemas.openxmlformats.org/officeDocument/2006/relationships/officeDocument" Target="word/document.xml"/><Relationship Id="rIdCore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body>
    <w:p>
      <w:pPr>
        <w:pStyle w:val="Heading1"/>
      </w:pPr>
      <w:r>
        <w:t xml:space="preserve">Build Sequence</w:t>
      </w:r>
    </w:p>
    <w:p>
      <w:pPr>
        <w:pStyle w:val="Heading2"/>
      </w:pPr>
      <w:r>
        <w:t xml:space="preserve">Harbour and Pine fictional customer support example</w:t>
      </w:r>
    </w:p>
    <w:p>
      <w:r>
        <w:rPr>
          <w:b/>
        </w:rPr>
        <w:t xml:space="preserve">Harbour and Pine (fictional demonstration)</w:t>
      </w:r>
      <w:r>
        <w:t xml:space="preserve"> · compiled 2026-09-12</w:t>
      </w:r>
    </w:p>
    <w:p>
      <w:r>
        <w:t xml:space="preserve">The proposed build order and definitions of done. Hard prerequisites and decisions requiring build evidence are listed separately. Other relationships described in the rationale may inform a decision without preventing it from being made earlier. Schedule validation checks this model, not the truth of its assumptions.</w:t>
      </w:r>
    </w:p>
    <w:p>
      <w:r>
        <w:t xml:space="preserve">Read alongside the decision envelope, which records the decisions referenced below.</w:t>
      </w:r>
    </w:p>
    <w:p>
      <w:pPr>
        <w:pBdr>
          <w:bottom w:val="single" w:sz="6" w:space="1" w:color="auto"/>
        </w:pBdr>
      </w:pPr>
    </w:p>
    <w:p>
      <w:pPr>
        <w:pStyle w:val="Heading3"/>
      </w:pPr>
      <w:r>
        <w:t xml:space="preserve">1. Build the evidence and handover record</w:t>
      </w:r>
    </w:p>
    <w:p>
      <w:r>
        <w:t xml:space="preserve">Logging and queue ownership are prerequisites for a meaningful trial.</w:t>
      </w:r>
    </w:p>
    <w:p>
      <w:r>
        <w:rPr>
          <w:b/>
        </w:rPr>
        <w:t xml:space="preserve">Settles, or makes settleable: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D-004</w:t>
      </w:r>
      <w:r>
        <w:t xml:space="preserve"> Set the missing-record handover deadline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D-006</w:t>
      </w:r>
      <w:r>
        <w:t xml:space="preserve"> Make decisions reconstructable</w:t>
      </w:r>
    </w:p>
    <w:p>
      <w:r>
        <w:rPr>
          <w:b/>
        </w:rPr>
        <w:t xml:space="preserve">Done when.</w:t>
      </w:r>
      <w:r>
        <w:t xml:space="preserve"> A reviewer can trace every synthetic request from source to final human outcome.</w:t>
      </w:r>
    </w:p>
    <w:tbl>
      <w:tblPr>
        <w:tblStyle w:val="SunholoTable"/>
        <w:tblW w:w="9298" w:type="dxa"/>
        <w:tblLayout w:type="fixed"/>
      </w:tblPr>
      <w:tblGrid>
        <w:gridCol w:w="1350"/>
        <w:gridCol w:w="2900"/>
        <w:gridCol w:w="2500"/>
        <w:gridCol w:w="2548"/>
      </w:tblGrid>
      <w:tr>
        <w:trPr>
          <w:cantSplit/>
          <w:tblHeader/>
        </w:trPr>
        <w:tc>
          <w:tcPr>
            <w:tcW w:w="1350" w:type="dxa"/>
          </w:tcPr>
          <w:p>
            <w:pPr>
              <w:jc w:val="center"/>
            </w:pPr>
            <w:r>
              <w:rPr>
                <w:b/>
              </w:rPr>
              <w:t xml:space="preserve">Ref</w:t>
            </w:r>
          </w:p>
        </w:tc>
        <w:tc>
          <w:tcPr>
            <w:tcW w:w="2900" w:type="dxa"/>
          </w:tcPr>
          <w:p>
            <w:pPr>
              <w:jc w:val="center"/>
            </w:pPr>
            <w:r>
              <w:rPr>
                <w:b/>
              </w:rPr>
              <w:t xml:space="preserve">Criterion</w:t>
            </w:r>
          </w:p>
        </w:tc>
        <w:tc>
          <w:tcPr>
            <w:tcW w:w="2500" w:type="dxa"/>
          </w:tcPr>
          <w:p>
            <w:pPr>
              <w:jc w:val="center"/>
            </w:pPr>
            <w:r>
              <w:rPr>
                <w:b/>
              </w:rPr>
              <w:t xml:space="preserve">How it is checked</w:t>
            </w:r>
          </w:p>
        </w:tc>
        <w:tc>
          <w:tcPr>
            <w:tcW w:w="2548" w:type="dxa"/>
          </w:tcPr>
          <w:p>
            <w:pPr>
              <w:jc w:val="center"/>
            </w:pPr>
            <w:r>
              <w:rPr>
                <w:b/>
              </w:rPr>
              <w:t xml:space="preserve">Against what</w:t>
            </w:r>
          </w:p>
        </w:tc>
      </w:tr>
      <w:tr>
        <w:trPr>
          <w:cantSplit/>
        </w:trPr>
        <w:tc>
          <w:tcPr>
            <w:tcW w:w="1350" w:type="dxa"/>
          </w:tcPr>
          <w:p>
            <w:r>
              <w:t xml:space="preserve">B-001-C1</w:t>
            </w:r>
          </w:p>
        </w:tc>
        <w:tc>
          <w:tcPr>
            <w:tcW w:w="2900" w:type="dxa"/>
          </w:tcPr>
          <w:p>
            <w:r>
              <w:t xml:space="preserve">Create ten synthetic requests including a missing record and an unavailable support lead. Each has a source reference, named owner, timestamp and final outcome.</w:t>
            </w:r>
          </w:p>
        </w:tc>
        <w:tc>
          <w:tcPr>
            <w:tcW w:w="2500" w:type="dxa"/>
          </w:tcPr>
          <w:p>
            <w:r>
              <w:t xml:space="preserve">manual</w:t>
            </w:r>
          </w:p>
        </w:tc>
        <w:tc>
          <w:tcPr>
            <w:tcW w:w="2548" w:type="dxa"/>
          </w:tcPr>
          <w:p>
            <w:r>
              <w:t xml:space="preserve">—</w:t>
            </w:r>
          </w:p>
        </w:tc>
      </w:tr>
      <w:tr>
        <w:trPr>
          <w:cantSplit/>
        </w:trPr>
        <w:tc>
          <w:tcPr>
            <w:tcW w:w="1350" w:type="dxa"/>
          </w:tcPr>
          <w:p>
            <w:r>
              <w:t xml:space="preserve">B-001-C2</w:t>
            </w:r>
          </w:p>
        </w:tc>
        <w:tc>
          <w:tcPr>
            <w:tcW w:w="2900" w:type="dxa"/>
          </w:tcPr>
          <w:p>
            <w:r>
              <w:t xml:space="preserve">Document and approve access, retention and the response clock before any real customer data is collected.</w:t>
            </w:r>
          </w:p>
        </w:tc>
        <w:tc>
          <w:tcPr>
            <w:tcW w:w="2500" w:type="dxa"/>
          </w:tcPr>
          <w:p>
            <w:r>
              <w:t xml:space="preserve">manual</w:t>
            </w:r>
          </w:p>
        </w:tc>
        <w:tc>
          <w:tcPr>
            <w:tcW w:w="2548" w:type="dxa"/>
          </w:tcPr>
          <w:p>
            <w:r>
              <w:t xml:space="preserve">—</w:t>
            </w:r>
          </w:p>
        </w:tc>
      </w:tr>
    </w:tbl>
    <w:p>
      <w:r>
        <w:rPr>
          <w:b/>
        </w:rPr>
        <w:t xml:space="preserve">Owner:</w:t>
      </w:r>
      <w:r>
        <w:t xml:space="preserve"> Alex Chen (fictional) — Engineering lead</w:t>
      </w:r>
    </w:p>
    <w:p>
      <w:pPr>
        <w:pStyle w:val="Heading3"/>
      </w:pPr>
      <w:r>
        <w:t xml:space="preserve">2. Create and agree the evaluation set</w:t>
      </w:r>
    </w:p>
    <w:p>
      <w:r>
        <w:t xml:space="preserve">The team must agree what correct means before comparing assistant replies.</w:t>
      </w:r>
    </w:p>
    <w:p>
      <w:r>
        <w:rPr>
          <w:b/>
        </w:rPr>
        <w:t xml:space="preserve">Settles, or makes settleable: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D-005</w:t>
      </w:r>
      <w:r>
        <w:t xml:space="preserve"> Approve evidence for a shadow trial</w:t>
      </w:r>
    </w:p>
    <w:p>
      <w:r>
        <w:rPr>
          <w:b/>
        </w:rPr>
        <w:t xml:space="preserve">Done when.</w:t>
      </w:r>
      <w:r>
        <w:t xml:space="preserve"> Support and operations approve expected results for routine and exception cases.</w:t>
      </w:r>
    </w:p>
    <w:tbl>
      <w:tblPr>
        <w:tblStyle w:val="SunholoTable"/>
        <w:tblW w:w="9298" w:type="dxa"/>
        <w:tblLayout w:type="fixed"/>
      </w:tblPr>
      <w:tblGrid>
        <w:gridCol w:w="1350"/>
        <w:gridCol w:w="2900"/>
        <w:gridCol w:w="2500"/>
        <w:gridCol w:w="2548"/>
      </w:tblGrid>
      <w:tr>
        <w:trPr>
          <w:cantSplit/>
          <w:tblHeader/>
        </w:trPr>
        <w:tc>
          <w:tcPr>
            <w:tcW w:w="1350" w:type="dxa"/>
          </w:tcPr>
          <w:p>
            <w:pPr>
              <w:jc w:val="center"/>
            </w:pPr>
            <w:r>
              <w:rPr>
                <w:b/>
              </w:rPr>
              <w:t xml:space="preserve">Ref</w:t>
            </w:r>
          </w:p>
        </w:tc>
        <w:tc>
          <w:tcPr>
            <w:tcW w:w="2900" w:type="dxa"/>
          </w:tcPr>
          <w:p>
            <w:pPr>
              <w:jc w:val="center"/>
            </w:pPr>
            <w:r>
              <w:rPr>
                <w:b/>
              </w:rPr>
              <w:t xml:space="preserve">Criterion</w:t>
            </w:r>
          </w:p>
        </w:tc>
        <w:tc>
          <w:tcPr>
            <w:tcW w:w="2500" w:type="dxa"/>
          </w:tcPr>
          <w:p>
            <w:pPr>
              <w:jc w:val="center"/>
            </w:pPr>
            <w:r>
              <w:rPr>
                <w:b/>
              </w:rPr>
              <w:t xml:space="preserve">How it is checked</w:t>
            </w:r>
          </w:p>
        </w:tc>
        <w:tc>
          <w:tcPr>
            <w:tcW w:w="2548" w:type="dxa"/>
          </w:tcPr>
          <w:p>
            <w:pPr>
              <w:jc w:val="center"/>
            </w:pPr>
            <w:r>
              <w:rPr>
                <w:b/>
              </w:rPr>
              <w:t xml:space="preserve">Against what</w:t>
            </w:r>
          </w:p>
        </w:tc>
      </w:tr>
      <w:tr>
        <w:trPr>
          <w:cantSplit/>
        </w:trPr>
        <w:tc>
          <w:tcPr>
            <w:tcW w:w="1350" w:type="dxa"/>
          </w:tcPr>
          <w:p>
            <w:r>
              <w:t xml:space="preserve">B-002-C1</w:t>
            </w:r>
          </w:p>
        </w:tc>
        <w:tc>
          <w:tcPr>
            <w:tcW w:w="2900" w:type="dxa"/>
          </w:tcPr>
          <w:p>
            <w:r>
              <w:t xml:space="preserve">Define twenty synthetic cases including conflicting sources, missing orders, refund requests and address changes.</w:t>
            </w:r>
          </w:p>
        </w:tc>
        <w:tc>
          <w:tcPr>
            <w:tcW w:w="2500" w:type="dxa"/>
          </w:tcPr>
          <w:p>
            <w:r>
              <w:t xml:space="preserve">manual</w:t>
            </w:r>
          </w:p>
        </w:tc>
        <w:tc>
          <w:tcPr>
            <w:tcW w:w="2548" w:type="dxa"/>
          </w:tcPr>
          <w:p>
            <w:r>
              <w:t xml:space="preserve">—</w:t>
            </w:r>
          </w:p>
        </w:tc>
      </w:tr>
      <w:tr>
        <w:trPr>
          <w:cantSplit/>
        </w:trPr>
        <w:tc>
          <w:tcPr>
            <w:tcW w:w="1350" w:type="dxa"/>
          </w:tcPr>
          <w:p>
            <w:r>
              <w:t xml:space="preserve">B-002-C2</w:t>
            </w:r>
          </w:p>
        </w:tc>
        <w:tc>
          <w:tcPr>
            <w:tcW w:w="2900" w:type="dxa"/>
          </w:tcPr>
          <w:p>
            <w:r>
              <w:t xml:space="preserve">Record an expected answer or handover for every case and the reason. Reviewers resolve disagreements or record an open decision.</w:t>
            </w:r>
          </w:p>
        </w:tc>
        <w:tc>
          <w:tcPr>
            <w:tcW w:w="2500" w:type="dxa"/>
          </w:tcPr>
          <w:p>
            <w:r>
              <w:t xml:space="preserve">manual</w:t>
            </w:r>
          </w:p>
        </w:tc>
        <w:tc>
          <w:tcPr>
            <w:tcW w:w="2548" w:type="dxa"/>
          </w:tcPr>
          <w:p>
            <w:r>
              <w:t xml:space="preserve">—</w:t>
            </w:r>
          </w:p>
        </w:tc>
      </w:tr>
    </w:tbl>
    <w:p>
      <w:r>
        <w:rPr>
          <w:b/>
        </w:rPr>
        <w:t xml:space="preserve">Owner:</w:t>
      </w:r>
      <w:r>
        <w:t xml:space="preserve"> Maya Reed (fictional) — Support lead</w:t>
      </w:r>
    </w:p>
    <w:p>
      <w:pPr>
        <w:pStyle w:val="Heading3"/>
      </w:pPr>
      <w:r>
        <w:t xml:space="preserve">3. Run a shadow comparison and decide the next stage</w:t>
      </w:r>
    </w:p>
    <w:p>
      <w:r>
        <w:t xml:space="preserve">Use the evidence and evaluation set from the first two items before requesting more autonomy.</w:t>
      </w:r>
    </w:p>
    <w:p>
      <w:r>
        <w:rPr>
          <w:b/>
        </w:rPr>
        <w:t xml:space="preserve">Settles, or makes settleable: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D-002</w:t>
      </w:r>
      <w:r>
        <w:t xml:space="preserve"> Permit a bounded delivery status reply</w:t>
      </w:r>
    </w:p>
    <w:p>
      <w:r>
        <w:rPr>
          <w:b/>
        </w:rPr>
        <w:t xml:space="preserve">Done when.</w:t>
      </w:r>
      <w:r>
        <w:t xml:space="preserve"> A review packet supports an explicit decision to remain held or progress; passing does not automatically authorise unattended replies.</w:t>
      </w:r>
    </w:p>
    <w:tbl>
      <w:tblPr>
        <w:tblStyle w:val="SunholoTable"/>
        <w:tblW w:w="9298" w:type="dxa"/>
        <w:tblLayout w:type="fixed"/>
      </w:tblPr>
      <w:tblGrid>
        <w:gridCol w:w="1350"/>
        <w:gridCol w:w="2900"/>
        <w:gridCol w:w="2500"/>
        <w:gridCol w:w="2548"/>
      </w:tblGrid>
      <w:tr>
        <w:trPr>
          <w:cantSplit/>
          <w:tblHeader/>
        </w:trPr>
        <w:tc>
          <w:tcPr>
            <w:tcW w:w="1350" w:type="dxa"/>
          </w:tcPr>
          <w:p>
            <w:pPr>
              <w:jc w:val="center"/>
            </w:pPr>
            <w:r>
              <w:rPr>
                <w:b/>
              </w:rPr>
              <w:t xml:space="preserve">Ref</w:t>
            </w:r>
          </w:p>
        </w:tc>
        <w:tc>
          <w:tcPr>
            <w:tcW w:w="2900" w:type="dxa"/>
          </w:tcPr>
          <w:p>
            <w:pPr>
              <w:jc w:val="center"/>
            </w:pPr>
            <w:r>
              <w:rPr>
                <w:b/>
              </w:rPr>
              <w:t xml:space="preserve">Criterion</w:t>
            </w:r>
          </w:p>
        </w:tc>
        <w:tc>
          <w:tcPr>
            <w:tcW w:w="2500" w:type="dxa"/>
          </w:tcPr>
          <w:p>
            <w:pPr>
              <w:jc w:val="center"/>
            </w:pPr>
            <w:r>
              <w:rPr>
                <w:b/>
              </w:rPr>
              <w:t xml:space="preserve">How it is checked</w:t>
            </w:r>
          </w:p>
        </w:tc>
        <w:tc>
          <w:tcPr>
            <w:tcW w:w="2548" w:type="dxa"/>
          </w:tcPr>
          <w:p>
            <w:pPr>
              <w:jc w:val="center"/>
            </w:pPr>
            <w:r>
              <w:rPr>
                <w:b/>
              </w:rPr>
              <w:t xml:space="preserve">Against what</w:t>
            </w:r>
          </w:p>
        </w:tc>
      </w:tr>
      <w:tr>
        <w:trPr>
          <w:cantSplit/>
        </w:trPr>
        <w:tc>
          <w:tcPr>
            <w:tcW w:w="1350" w:type="dxa"/>
          </w:tcPr>
          <w:p>
            <w:r>
              <w:t xml:space="preserve">B-003-C1</w:t>
            </w:r>
          </w:p>
        </w:tc>
        <w:tc>
          <w:tcPr>
            <w:tcW w:w="2900" w:type="dxa"/>
          </w:tcPr>
          <w:p>
            <w:r>
              <w:t xml:space="preserve">With customer sending disabled, replay the approved cases and pair every proposed reply with the human judgement.</w:t>
            </w:r>
          </w:p>
        </w:tc>
        <w:tc>
          <w:tcPr>
            <w:tcW w:w="2500" w:type="dxa"/>
          </w:tcPr>
          <w:p>
            <w:r>
              <w:t xml:space="preserve">manual</w:t>
            </w:r>
          </w:p>
        </w:tc>
        <w:tc>
          <w:tcPr>
            <w:tcW w:w="2548" w:type="dxa"/>
          </w:tcPr>
          <w:p>
            <w:r>
              <w:t xml:space="preserve">—</w:t>
            </w:r>
          </w:p>
        </w:tc>
      </w:tr>
      <w:tr>
        <w:trPr>
          <w:cantSplit/>
        </w:trPr>
        <w:tc>
          <w:tcPr>
            <w:tcW w:w="1350" w:type="dxa"/>
          </w:tcPr>
          <w:p>
            <w:r>
              <w:t xml:space="preserve">B-003-C2</w:t>
            </w:r>
          </w:p>
        </w:tc>
        <w:tc>
          <w:tcPr>
            <w:tcW w:w="2900" w:type="dxa"/>
          </w:tcPr>
          <w:p>
            <w:r>
              <w:t xml:space="preserve">Report unsupported claims, prohibited actions, routing errors and corrections separately. A critical failure keeps the relevant decision held.</w:t>
            </w:r>
          </w:p>
        </w:tc>
        <w:tc>
          <w:tcPr>
            <w:tcW w:w="2500" w:type="dxa"/>
          </w:tcPr>
          <w:p>
            <w:r>
              <w:t xml:space="preserve">manual</w:t>
            </w:r>
          </w:p>
        </w:tc>
        <w:tc>
          <w:tcPr>
            <w:tcW w:w="2548" w:type="dxa"/>
          </w:tcPr>
          <w:p>
            <w:r>
              <w:t xml:space="preserve">—</w:t>
            </w:r>
          </w:p>
        </w:tc>
      </w:tr>
      <w:tr>
        <w:trPr>
          <w:cantSplit/>
        </w:trPr>
        <w:tc>
          <w:tcPr>
            <w:tcW w:w="1350" w:type="dxa"/>
          </w:tcPr>
          <w:p>
            <w:r>
              <w:t xml:space="preserve">B-003-C3</w:t>
            </w:r>
          </w:p>
        </w:tc>
        <w:tc>
          <w:tcPr>
            <w:tcW w:w="2900" w:type="dxa"/>
          </w:tcPr>
          <w:p>
            <w:r>
              <w:t xml:space="preserve">The support lead records whether to permit a limited checked trial and its conditions. No automatic promotion to running.</w:t>
            </w:r>
          </w:p>
        </w:tc>
        <w:tc>
          <w:tcPr>
            <w:tcW w:w="2500" w:type="dxa"/>
          </w:tcPr>
          <w:p>
            <w:r>
              <w:t xml:space="preserve">manual</w:t>
            </w:r>
          </w:p>
        </w:tc>
        <w:tc>
          <w:tcPr>
            <w:tcW w:w="2548" w:type="dxa"/>
          </w:tcPr>
          <w:p>
            <w:r>
              <w:t xml:space="preserve">—</w:t>
            </w:r>
          </w:p>
        </w:tc>
      </w:tr>
    </w:tbl>
    <w:p>
      <w:r>
        <w:rPr>
          <w:b/>
        </w:rPr>
        <w:t xml:space="preserve">Owner:</w:t>
      </w:r>
      <w:r>
        <w:t xml:space="preserve"> Alex Chen (fictional) — Engineering lead</w:t>
      </w:r>
    </w:p>
    <w:p>
      <w:pPr>
        <w:pStyle w:val="Heading2"/>
      </w:pPr>
      <w:r>
        <w:t xml:space="preserve">Acceptance</w:t>
      </w:r>
    </w:p>
    <w:p>
      <w:pPr>
        <w:keepNext/>
      </w:pPr>
      <w:r>
        <w:t xml:space="preserve">This sequence is accepted when the people named below confirm the order and the definitions of done.</w:t>
      </w:r>
    </w:p>
    <w:tbl>
      <w:tblPr>
        <w:tblStyle w:val="SunholoTable"/>
        <w:tblW w:w="9298" w:type="dxa"/>
        <w:tblLayout w:type="fixed"/>
      </w:tblPr>
      <w:tblGrid>
        <w:gridCol w:w="3098"/>
        <w:gridCol w:w="2200"/>
        <w:gridCol w:w="2400"/>
        <w:gridCol w:w="1600"/>
      </w:tblGrid>
      <w:tr>
        <w:trPr>
          <w:cantSplit/>
          <w:tblHeader/>
        </w:trPr>
        <w:tc>
          <w:tcPr>
            <w:tcW w:w="3098" w:type="dxa"/>
          </w:tcPr>
          <w:p>
            <w:pPr>
              <w:jc w:val="center"/>
            </w:pPr>
            <w:r>
              <w:rPr>
                <w:b/>
              </w:rPr>
              <w:t xml:space="preserve"/>
            </w:r>
          </w:p>
        </w:tc>
        <w:tc>
          <w:tcPr>
            <w:tcW w:w="2200" w:type="dxa"/>
          </w:tcPr>
          <w:p>
            <w:pPr>
              <w:jc w:val="center"/>
            </w:pPr>
            <w:r>
              <w:rPr>
                <w:b/>
              </w:rPr>
              <w:t xml:space="preserve">Name</w:t>
            </w:r>
          </w:p>
        </w:tc>
        <w:tc>
          <w:tcPr>
            <w:tcW w:w="2400" w:type="dxa"/>
          </w:tcPr>
          <w:p>
            <w:pPr>
              <w:jc w:val="center"/>
            </w:pPr>
            <w:r>
              <w:rPr>
                <w:b/>
              </w:rPr>
              <w:t xml:space="preserve">Signature</w:t>
            </w:r>
          </w:p>
        </w:tc>
        <w:tc>
          <w:tcPr>
            <w:tcW w:w="1600" w:type="dxa"/>
          </w:tcPr>
          <w:p>
            <w:pPr>
              <w:jc w:val="center"/>
            </w:pPr>
            <w:r>
              <w:rPr>
                <w:b/>
              </w:rPr>
              <w:t xml:space="preserve">Date</w:t>
            </w:r>
          </w:p>
        </w:tc>
      </w:tr>
      <w:tr>
        <w:trPr>
          <w:cantSplit/>
        </w:trPr>
        <w:tc>
          <w:tcPr>
            <w:tcW w:w="3098" w:type="dxa"/>
          </w:tcPr>
          <w:p>
            <w:r>
              <w:t xml:space="preserve">Support lead</w:t>
            </w:r>
          </w:p>
        </w:tc>
        <w:tc>
          <w:tcPr>
            <w:tcW w:w="2200" w:type="dxa"/>
          </w:tcPr>
          <w:p>
            <w:r>
              <w:t xml:space="preserve">Maya Reed (fictional)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1600" w:type="dxa"/>
          </w:tcPr>
          <w:p>
            <w:r>
              <w:t xml:space="preserve"/>
            </w:r>
          </w:p>
        </w:tc>
      </w:tr>
      <w:tr>
        <w:trPr>
          <w:cantSplit/>
        </w:trPr>
        <w:tc>
          <w:tcPr>
            <w:tcW w:w="3098" w:type="dxa"/>
          </w:tcPr>
          <w:p>
            <w:r>
              <w:t xml:space="preserve">Operations owner</w:t>
            </w:r>
          </w:p>
        </w:tc>
        <w:tc>
          <w:tcPr>
            <w:tcW w:w="2200" w:type="dxa"/>
          </w:tcPr>
          <w:p>
            <w:r>
              <w:t xml:space="preserve">Jon Bell (fictional)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1600" w:type="dxa"/>
          </w:tcPr>
          <w:p>
            <w:r>
              <w:t xml:space="preserve"/>
            </w:r>
          </w:p>
        </w:tc>
      </w:tr>
      <w:tr>
        <w:trPr>
          <w:cantSplit/>
        </w:trPr>
        <w:tc>
          <w:tcPr>
            <w:tcW w:w="3098" w:type="dxa"/>
          </w:tcPr>
          <w:p>
            <w:r>
              <w:t xml:space="preserve">Engineering lead</w:t>
            </w:r>
          </w:p>
        </w:tc>
        <w:tc>
          <w:tcPr>
            <w:tcW w:w="2200" w:type="dxa"/>
          </w:tcPr>
          <w:p>
            <w:r>
              <w:t xml:space="preserve">Alex Chen (fictional)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1600" w:type="dxa"/>
          </w:tcPr>
          <w:p>
            <w:r>
              <w:t xml:space="preserve"/>
            </w:r>
          </w:p>
        </w:tc>
      </w:tr>
    </w:tbl>
    <w:sectPr>
      <w:headerReference w:type="default" r:id="rHeader"/>
      <w:headerReference w:type="first" r:id="rFirst"/>
      <w:footerReference w:type="default" r:id="rFooter"/>
      <w:footerReference w:type="first" r:id="rFooter"/>
      <w:pgSz w:w="11906" w:h="16838"/>
      <w:pgMar w:top="2100" w:right="1304" w:bottom="1300" w:left="1304" w:header="620" w:footer="640"/>
      <w:titlePg/>
    </w:sectPr>
  </w:body>
</w:document>
</file>

<file path=word/footer.xml><?xml version="1.0" encoding="utf-8"?>
<w:ftr xmlns:w="http://schemas.openxmlformats.org/wordprocessingml/2006/main">
  <w:p>
    <w:pPr>
      <w:pBdr>
        <w:top w:val="single" w:sz="4" w:space="10" w:color="DCE2E7"/>
      </w:pBdr>
      <w:tabs>
        <w:tab w:val="right" w:pos="9298"/>
      </w:tabs>
      <w:spacing w:before="120" w:after="0"/>
    </w:pPr>
    <w:r>
      <w:rPr>
        <w:sz w:val="16"/>
        <w:color w:val="6A7884"/>
      </w:rPr>
      <w:t>Holosun ApS · CVR 44324687 · sunholo.com</w:t>
      <w:tab/>
    </w:r>
    <w:fldSimple w:instr="PAGE">
      <w:r>
        <w:rPr>
          <w:sz w:val="16"/>
          <w:color w:val="6A7884"/>
        </w:rPr>
        <w:t>1</w:t>
      </w:r>
    </w:fldSimple>
  </w:p>
</w:ftr>
</file>

<file path=word/header-first.xml><?xml version="1.0" encoding="utf-8"?>
<w:hdr xmlns:w="http://schemas.openxmlformats.org/wordprocessingml/2006/main" xmlns:r="http://schemas.openxmlformats.org/officeDocument/2006/relationships">
  <w:p>
    <w:pPr>
      <w:spacing w:after="70"/>
      <w:tabs>
        <w:tab w:val="right" w:pos="9298"/>
      </w:tabs>
    </w:pPr>
    <w:r>
      <w:drawing>
        <wp:inline xmlns:wp="http://schemas.openxmlformats.org/drawingml/2006/wordprocessingDrawing" distT="0" distB="0" distL="0" distR="0">
          <wp:extent cx="640000" cy="640000"/>
          <wp:docPr id="1" name="Brand logo" descr="Holosun ApS logo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nd.png"/>
                  <pic:cNvPicPr/>
                </pic:nvPicPr>
                <pic:blipFill>
                  <a:blip r:embed="rLogo"/>
                  <a:stretch>
                    <a:fillRect/>
                  </a:stretch>
                </pic:blipFill>
                <pic:spPr>
                  <a:xfrm>
                    <a:off x="0" y="0"/>
                    <a:ext cx="640000" cy="6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ontserrat" w:hAnsi="Montserrat"/>
        <w:b/>
        <w:color w:val="314352"/>
        <w:sz w:val="48"/>
        <w:position w:val="30"/>
      </w:rPr>
      <w:t xml:space="preserve"> Holosun ApS</w:t>
    </w:r>
    <w:r>
      <w:rPr>
        <w:sz w:val="17"/>
        <w:color w:val="6A7884"/>
        <w:position w:val="30"/>
      </w:rPr>
      <w:tab/>
      <w:t>DECISION BUDGET</w:t>
    </w:r>
  </w:p>
  <w:p>
    <w:pPr>
      <w:spacing w:after="0"/>
      <w:jc w:val="left"/>
    </w:pPr>
    <w:r>
      <w:rPr>
        <w:sz w:val="17"/>
        <w:color w:val="6A7884"/>
      </w:rPr>
      <w:t>Technology · Engineering · Delivery</w:t>
    </w:r>
  </w:p>
</w:hdr>
</file>

<file path=word/header.xml><?xml version="1.0" encoding="utf-8"?>
<w:hdr xmlns:w="http://schemas.openxmlformats.org/wordprocessingml/2006/main" xmlns:r="http://schemas.openxmlformats.org/officeDocument/2006/relationships">
  <w:p>
    <w:pPr>
      <w:spacing w:after="70"/>
      <w:tabs>
        <w:tab w:val="right" w:pos="9298"/>
      </w:tabs>
    </w:pPr>
    <w:r>
      <w:drawing>
        <wp:inline xmlns:wp="http://schemas.openxmlformats.org/drawingml/2006/wordprocessingDrawing" distT="0" distB="0" distL="0" distR="0">
          <wp:extent cx="300000" cy="300000"/>
          <wp:docPr id="1" name="Brand logo" descr="Holosun ApS logo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nd.png"/>
                  <pic:cNvPicPr/>
                </pic:nvPicPr>
                <pic:blipFill>
                  <a:blip r:embed="rLogo"/>
                  <a:stretch>
                    <a:fillRect/>
                  </a:stretch>
                </pic:blipFill>
                <pic:spPr>
                  <a:xfrm>
                    <a:off x="0" y="0"/>
                    <a:ext cx="300000" cy="3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ontserrat" w:hAnsi="Montserrat"/>
        <w:b/>
        <w:color w:val="314352"/>
        <w:sz w:val="25"/>
        <w:position w:val="14"/>
      </w:rPr>
      <w:t xml:space="preserve"> Holosun ApS</w:t>
    </w:r>
    <w:r>
      <w:rPr>
        <w:sz w:val="17"/>
        <w:color w:val="6A7884"/>
        <w:position w:val="14"/>
      </w:rPr>
      <w:tab/>
      <w:t>DECISION BUDGET</w:t>
    </w:r>
  </w:p>
  <w:p>
    <w:pPr>
      <w:spacing w:after="0"/>
      <w:jc w:val="left"/>
    </w:pPr>
    <w:r>
      <w:rPr>
        <w:sz w:val="17"/>
        <w:color w:val="6A7884"/>
      </w:rPr>
      <w:t>Technology · Engineering · Delivery</w:t>
    </w:r>
  </w:p>
</w:hdr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  <w:rPr>
        <w:rFonts w:ascii="Symbol" w:hAnsi="Symbol"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314352"/>
        <w:sz w:val="22"/>
        <w:lang w:val="en-GB"/>
      </w:rPr>
    </w:rPrDefault>
    <w:pPrDefault>
      <w:pPr>
        <w:spacing w:after="160" w:line="288" w:lineRule="auto"/>
        <w:widowControl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pageBreakBefore/>
      <w:pBdr>
        <w:bottom w:val="single" w:sz="14" w:space="12" w:color="E73C17"/>
      </w:pBdr>
      <w:spacing w:before="280" w:after="180"/>
      <w:outlineLvl w:val="0"/>
    </w:pPr>
    <w:rPr>
      <w:rFonts w:ascii="Montserrat" w:hAnsi="Montserrat"/>
      <w:b/>
      <w:color w:val="314352"/>
      <w:sz w:val="50"/>
    </w:rPr>
  </w:style>
  <w:style w:type="paragraph" w:styleId="Heading2">
    <w:name w:val="heading 2"/>
    <w:basedOn w:val="Normal"/>
    <w:next w:val="Normal"/>
    <w:qFormat/>
    <w:pPr>
      <w:keepNext/>
      <w:keepLines/>
      <w:spacing w:before="300" w:after="180"/>
      <w:outlineLvl w:val="1"/>
    </w:pPr>
    <w:rPr>
      <w:rFonts w:ascii="Montserrat" w:hAnsi="Montserrat"/>
      <w:b/>
      <w:color w:val="314352"/>
      <w:sz w:val="27"/>
    </w:rPr>
  </w:style>
  <w:style w:type="paragraph" w:styleId="Heading3">
    <w:name w:val="heading 3"/>
    <w:basedOn w:val="Normal"/>
    <w:next w:val="Normal"/>
    <w:qFormat/>
    <w:pPr>
      <w:keepNext/>
      <w:keepLines/>
      <w:spacing w:before="200" w:after="180"/>
      <w:outlineLvl w:val="2"/>
    </w:pPr>
    <w:rPr>
      <w:rFonts w:ascii="Montserrat" w:hAnsi="Montserrat"/>
      <w:b/>
      <w:color w:val="B52D10"/>
      <w:sz w:val="23"/>
    </w:rPr>
  </w:style>
  <w:style w:type="paragraph" w:styleId="ListParagraph">
    <w:name w:val="List Paragraph"/>
    <w:basedOn w:val="Normal"/>
    <w:pPr>
      <w:spacing w:after="110"/>
      <w:ind w:left="360"/>
    </w:pPr>
  </w:style>
  <w:style w:type="character" w:styleId="Hyperlink">
    <w:name w:val="Hyperlink"/>
    <w:rPr>
      <w:color w:val="B52D10"/>
      <w:u w:val="single"/>
    </w:rPr>
  </w:style>
  <w:style w:type="table" w:styleId="SunholoTable">
    <w:name w:val="Sunholo Table"/>
    <w:pPr>
      <w:spacing w:before="0" w:after="60" w:line="260" w:lineRule="auto"/>
    </w:pPr>
    <w:rPr>
      <w:rFonts w:ascii="Arial" w:hAnsi="Arial" w:cs="Arial"/>
      <w:sz w:val="20"/>
      <w:color w:val="314352"/>
    </w:rPr>
    <w:tblPr>
      <w:tblBorders>
        <w:top w:val="single" w:sz="8" w:color="E73C17"/>
        <w:bottom w:val="single" w:sz="4" w:color="DCE2E7"/>
        <w:insideH w:val="single" w:sz="4" w:color="DCE2E7"/>
      </w:tblBorders>
      <w:tblCellMar>
        <w:top w:w="130" w:type="dxa"/>
        <w:left w:w="130" w:type="dxa"/>
        <w:bottom w:w="130" w:type="dxa"/>
        <w:right w:w="130" w:type="dxa"/>
      </w:tblCellMar>
    </w:tblPr>
    <w:tblStylePr w:type="firstRow">
      <w:rPr>
        <w:b/>
        <w:color w:val="314352"/>
      </w:rPr>
      <w:tcPr>
        <w:shd w:fill="F6F8FA"/>
      </w:tcPr>
    </w:tblStylePr>
  </w:style>
  <w:style w:type="paragraph" w:styleId="Heading4">
    <w:name w:val="heading 4"/>
    <w:basedOn w:val="Normal"/>
    <w:next w:val="Normal"/>
    <w:pPr>
      <w:keepNext/>
      <w:keepLines/>
      <w:spacing w:before="240" w:after="120"/>
      <w:outlineLvl w:val="3"/>
    </w:pPr>
    <w:rPr>
      <w:b/>
      <w:sz w:val="24"/>
      <w:color w:val="314352"/>
    </w:rPr>
  </w:style>
  <w:style w:type="paragraph" w:styleId="Heading5">
    <w:name w:val="heading 5"/>
    <w:pPr>
      <w:spacing w:before="240" w:after="120"/>
    </w:pPr>
    <w:rPr>
      <w:b/>
      <w:sz w:val="16"/>
    </w:rPr>
  </w:style>
  <w:style w:type="paragraph" w:styleId="Heading6">
    <w:name w:val="heading 6"/>
    <w:pPr>
      <w:spacing w:before="240" w:after="120"/>
    </w:pPr>
    <w:rPr>
      <w:b/>
      <w:sz w:val="14"/>
    </w:rPr>
  </w:style>
</w:styles>
</file>

<file path=word/_rels/document.xml.rels><?xml version="1.0" encoding="UTF-8" standalone="yes"?><Relationships xmlns="http://schemas.openxmlformats.org/package/2006/relationships"><Relationship Id="rStyles" Type="http://schemas.openxmlformats.org/officeDocument/2006/relationships/styles" Target="styles.xml"/><Relationship Id="rHeader" Type="http://schemas.openxmlformats.org/officeDocument/2006/relationships/header" Target="header.xml"/><Relationship Id="rFirst" Type="http://schemas.openxmlformats.org/officeDocument/2006/relationships/header" Target="header-first.xml"/><Relationship Id="rFooter" Type="http://schemas.openxmlformats.org/officeDocument/2006/relationships/footer" Target="footer.xml"/><Relationship Id="rIdNumbering" Type="http://schemas.openxmlformats.org/officeDocument/2006/relationships/numbering" Target="numbering.xml"/></Relationships>
</file>

<file path=word/_rels/header-first.xml.rels><?xml version="1.0" encoding="UTF-8" standalone="yes"?><Relationships xmlns="http://schemas.openxmlformats.org/package/2006/relationships"><Relationship Id="rLogo" Type="http://schemas.openxmlformats.org/officeDocument/2006/relationships/image" Target="media/brand.png"/></Relationships>
</file>

<file path=word/_rels/header.xml.rels><?xml version="1.0" encoding="UTF-8" standalone="yes"?><Relationships xmlns="http://schemas.openxmlformats.org/package/2006/relationships"><Relationship Id="rLogo" Type="http://schemas.openxmlformats.org/officeDocument/2006/relationships/image" Target="media/brand.png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