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header.xml" ContentType="application/vnd.openxmlformats-officedocument.wordprocessingml.header+xml"/>
  <Override PartName="/word/header-first.xml" ContentType="application/vnd.openxmlformats-officedocument.wordprocessingml.header+xml"/>
  <Override PartName="/word/footer.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Doc" Type="http://schemas.openxmlformats.org/officeDocument/2006/relationships/officeDocument" Target="word/document.xml"/><Relationship Id="rIdCore"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pStyle w:val="Heading1"/>
      </w:pPr>
      <w:r>
        <w:t xml:space="preserve">Decision Envelope</w:t>
      </w:r>
    </w:p>
    <w:p>
      <w:pPr>
        <w:pStyle w:val="Heading2"/>
      </w:pPr>
      <w:r>
        <w:t xml:space="preserve">Harbour and Pine fictional customer support example</w:t>
      </w:r>
    </w:p>
    <w:p>
      <w:r>
        <w:rPr>
          <w:b/>
        </w:rPr>
        <w:t xml:space="preserve">Harbour and Pine (fictional demonstration)</w:t>
      </w:r>
    </w:p>
    <w:tbl>
      <w:tblPr>
        <w:tblStyle w:val="SunholoTable"/>
        <w:tblW w:w="9298" w:type="dxa"/>
        <w:tblLayout w:type="fixed"/>
      </w:tblPr>
      <w:tblGrid>
        <w:gridCol w:w="2100"/>
        <w:gridCol w:w="7198"/>
      </w:tblGrid>
      <w:tr>
        <w:trPr>
          <w:cantSplit/>
          <w:tblHeader/>
        </w:trPr>
        <w:tc>
          <w:tcPr>
            <w:tcW w:w="2100" w:type="dxa"/>
          </w:tcPr>
          <w:p>
            <w:pPr>
              <w:jc w:val="center"/>
            </w:pPr>
            <w:r>
              <w:rPr>
                <w:b/>
              </w:rPr>
              <w:t xml:space="preserve">Field</w:t>
            </w:r>
          </w:p>
        </w:tc>
        <w:tc>
          <w:tcPr>
            <w:tcW w:w="7198" w:type="dxa"/>
          </w:tcPr>
          <w:p>
            <w:pPr>
              <w:jc w:val="center"/>
            </w:pPr>
            <w:r>
              <w:rPr>
                <w:b/>
              </w:rPr>
              <w:t xml:space="preserve">Detail</w:t>
            </w:r>
          </w:p>
        </w:tc>
      </w:tr>
      <w:tr>
        <w:trPr>
          <w:cantSplit/>
        </w:trPr>
        <w:tc>
          <w:tcPr>
            <w:tcW w:w="2100" w:type="dxa"/>
          </w:tcPr>
          <w:p>
            <w:r>
              <w:t xml:space="preserve">Prepared by</w:t>
            </w:r>
          </w:p>
        </w:tc>
        <w:tc>
          <w:tcPr>
            <w:tcW w:w="7198" w:type="dxa"/>
          </w:tcPr>
          <w:p>
            <w:r>
              <w:t xml:space="preserve">Sunholo / Holosun ApS</w:t>
            </w:r>
          </w:p>
        </w:tc>
      </w:tr>
      <w:tr>
        <w:trPr>
          <w:cantSplit/>
        </w:trPr>
        <w:tc>
          <w:tcPr>
            <w:tcW w:w="2100" w:type="dxa"/>
          </w:tcPr>
          <w:p>
            <w:r>
              <w:t xml:space="preserve">For</w:t>
            </w:r>
          </w:p>
        </w:tc>
        <w:tc>
          <w:tcPr>
            <w:tcW w:w="7198" w:type="dxa"/>
          </w:tcPr>
          <w:p>
            <w:r>
              <w:t xml:space="preserve">Maya Reed (fictional) — Support lead; Jon Bell (fictional) — Operations owner; Alex Chen (fictional) — Engineering lead</w:t>
            </w:r>
          </w:p>
        </w:tc>
      </w:tr>
      <w:tr>
        <w:trPr>
          <w:cantSplit/>
        </w:trPr>
        <w:tc>
          <w:tcPr>
            <w:tcW w:w="2100" w:type="dxa"/>
          </w:tcPr>
          <w:p>
            <w:r>
              <w:t xml:space="preserve">Status</w:t>
            </w:r>
          </w:p>
        </w:tc>
        <w:tc>
          <w:tcPr>
            <w:tcW w:w="7198" w:type="dxa"/>
          </w:tcPr>
          <w:p>
            <w:r>
              <w:t xml:space="preserve">draft</w:t>
            </w:r>
          </w:p>
        </w:tc>
      </w:tr>
      <w:tr>
        <w:trPr>
          <w:cantSplit/>
        </w:trPr>
        <w:tc>
          <w:tcPr>
            <w:tcW w:w="2100" w:type="dxa"/>
          </w:tcPr>
          <w:p>
            <w:r>
              <w:t xml:space="preserve">Compiled</w:t>
            </w:r>
          </w:p>
        </w:tc>
        <w:tc>
          <w:tcPr>
            <w:tcW w:w="7198" w:type="dxa"/>
          </w:tcPr>
          <w:p>
            <w:r>
              <w:t xml:space="preserve">2026-09-12</w:t>
            </w:r>
          </w:p>
        </w:tc>
      </w:tr>
    </w:tbl>
    <w:p>
      <w:r>
        <w:t xml:space="preserve">This envelope records the decisions identified in the workflows below: what the system may resolve, within what limits, who resolves the rest, and what is forbidden. It is a specification to build and test against. Coverage and proposed interpretations must be confirmed against actual practice.</w:t>
      </w:r>
    </w:p>
    <w:p>
      <w:r>
        <w:rPr>
          <w:b/>
        </w:rPr>
        <w:t xml:space="preserve">Open means not confirmed in this record.</w:t>
      </w:r>
      <w:r>
        <w:t xml:space="preserve"> It may describe an unmade decision, a proposed answer, or an existing practice that the reviewed material did not establish. A named resolver and date identify the next confirmation step; they do not prove that person has accepted the assignment.</w:t>
      </w:r>
    </w:p>
    <w:p>
      <w:r>
        <w:t xml:space="preserve">PUBLIC FICTIONAL DEMONSTRATION. All organisations, staff, source documents, decisions and proposed tests in this example were invented for illustration. No real client engagement, approval, operational evidence or performance result is represented. This is a shortened sample of the delivery format, not a policy to adopt unchanged.</w:t>
      </w:r>
    </w:p>
    <w:p>
      <w:pPr>
        <w:pStyle w:val="Heading2"/>
      </w:pPr>
      <w:r>
        <w:t xml:space="preserve">Scope</w:t>
      </w:r>
    </w:p>
    <w:p>
      <w:pPr>
        <w:pStyle w:val="Heading3"/>
      </w:pPr>
      <w:r>
        <w:t xml:space="preserve">Workflows covered</w:t>
      </w:r>
    </w:p>
    <w:p>
      <w:pPr>
        <w:pStyle w:val="ListParagraph"/>
        <w:numPr>
          <w:ilvl w:val="0"/>
          <w:numId w:val="1"/>
        </w:numPr>
      </w:pPr>
      <w:r>
        <w:rPr>
          <w:b/>
        </w:rPr>
        <w:t xml:space="preserve">Customer delivery status enquiries</w:t>
      </w:r>
      <w:r>
        <w:t xml:space="preserve"> — Invented online homewares shop considering a support assistant.</w:t>
      </w:r>
    </w:p>
    <w:p>
      <w:pPr>
        <w:pStyle w:val="Heading3"/>
      </w:pPr>
      <w:r>
        <w:t xml:space="preserve">What decisions would be delegated to</w:t>
      </w:r>
    </w:p>
    <w:p>
      <w:r>
        <w:rPr>
          <w:b/>
        </w:rPr>
        <w:t xml:space="preserve">Fictional support assistant</w:t>
      </w:r>
    </w:p>
    <w:p>
      <w:r>
        <w:t xml:space="preserve">A proposed capability, not a deployed system.</w:t>
      </w:r>
    </w:p>
    <w:p>
      <w:r>
        <w:rPr>
          <w:b/>
        </w:rPr>
        <w:t xml:space="preserve">Not covered by this envelope:</w:t>
      </w:r>
    </w:p>
    <w:p>
      <w:pPr>
        <w:pStyle w:val="ListParagraph"/>
        <w:numPr>
          <w:ilvl w:val="0"/>
          <w:numId w:val="1"/>
        </w:numPr>
      </w:pPr>
      <w:r>
        <w:t xml:space="preserve">Real client data or results</w:t>
      </w:r>
    </w:p>
    <w:p>
      <w:pPr>
        <w:pStyle w:val="ListParagraph"/>
        <w:numPr>
          <w:ilvl w:val="0"/>
          <w:numId w:val="1"/>
        </w:numPr>
      </w:pPr>
      <w:r>
        <w:t xml:space="preserve">Implementation or production deployment</w:t>
      </w:r>
    </w:p>
    <w:p>
      <w:pPr>
        <w:pStyle w:val="ListParagraph"/>
        <w:numPr>
          <w:ilvl w:val="0"/>
          <w:numId w:val="1"/>
        </w:numPr>
      </w:pPr>
      <w:r>
        <w:t xml:space="preserve">Payment execution and address changes by the assistant</w:t>
      </w:r>
    </w:p>
    <w:p>
      <w:pPr>
        <w:pStyle w:val="Heading2"/>
      </w:pPr>
      <w:r>
        <w:t xml:space="preserve">Summary</w:t>
      </w:r>
    </w:p>
    <w:p>
      <w:r>
        <w:rPr>
          <w:b/>
        </w:rPr>
        <w:t xml:space="preserve">6 decisions. 4 of them are not yet settled.</w:t>
      </w:r>
    </w:p>
    <w:p>
      <w:r>
        <w:t xml:space="preserve">The unsettled ones are listed together in the next section, grouped by who has to settle them. The full record for every decision follows, grouped by workflow.</w:t>
      </w:r>
    </w:p>
    <w:p>
      <w:pPr>
        <w:pStyle w:val="Heading3"/>
      </w:pPr>
      <w:r>
        <w:t xml:space="preserve">By axis</w:t>
      </w:r>
    </w:p>
    <w:tbl>
      <w:tblPr>
        <w:tblStyle w:val="SunholoTable"/>
        <w:tblW w:w="9298" w:type="dxa"/>
        <w:tblLayout w:type="fixed"/>
      </w:tblPr>
      <w:tblGrid>
        <w:gridCol w:w="1300"/>
        <w:gridCol w:w="2900"/>
        <w:gridCol w:w="2500"/>
        <w:gridCol w:w="2598"/>
      </w:tblGrid>
      <w:tr>
        <w:trPr>
          <w:cantSplit/>
          <w:tblHeader/>
        </w:trPr>
        <w:tc>
          <w:tcPr>
            <w:tcW w:w="1300" w:type="dxa"/>
          </w:tcPr>
          <w:p>
            <w:pPr>
              <w:jc w:val="center"/>
            </w:pPr>
            <w:r>
              <w:rPr>
                <w:b/>
              </w:rPr>
              <w:t xml:space="preserve">Axis</w:t>
            </w:r>
          </w:p>
        </w:tc>
        <w:tc>
          <w:tcPr>
            <w:tcW w:w="2900" w:type="dxa"/>
          </w:tcPr>
          <w:p>
            <w:pPr>
              <w:jc w:val="center"/>
            </w:pPr>
            <w:r>
              <w:rPr>
                <w:b/>
              </w:rPr>
              <w:t xml:space="preserve">Also called</w:t>
            </w:r>
          </w:p>
        </w:tc>
        <w:tc>
          <w:tcPr>
            <w:tcW w:w="2500" w:type="dxa"/>
          </w:tcPr>
          <w:p>
            <w:pPr>
              <w:jc w:val="center"/>
            </w:pPr>
            <w:r>
              <w:rPr>
                <w:b/>
              </w:rPr>
              <w:t xml:space="preserve">Decisions</w:t>
            </w:r>
          </w:p>
        </w:tc>
        <w:tc>
          <w:tcPr>
            <w:tcW w:w="2598" w:type="dxa"/>
          </w:tcPr>
          <w:p>
            <w:pPr>
              <w:jc w:val="center"/>
            </w:pPr>
            <w:r>
              <w:rPr>
                <w:b/>
              </w:rPr>
              <w:t xml:space="preserve">Open</w:t>
            </w:r>
          </w:p>
        </w:tc>
      </w:tr>
      <w:tr>
        <w:trPr>
          <w:cantSplit/>
        </w:trPr>
        <w:tc>
          <w:tcPr>
            <w:tcW w:w="1300" w:type="dxa"/>
          </w:tcPr>
          <w:p>
            <w:r>
              <w:t xml:space="preserve">meaning</w:t>
            </w:r>
          </w:p>
        </w:tc>
        <w:tc>
          <w:tcPr>
            <w:tcW w:w="2900" w:type="dxa"/>
          </w:tcPr>
          <w:p>
            <w:r>
              <w:t xml:space="preserve">semantic</w:t>
            </w:r>
          </w:p>
        </w:tc>
        <w:tc>
          <w:tcPr>
            <w:tcW w:w="2500" w:type="dxa"/>
          </w:tcPr>
          <w:p>
            <w:r>
              <w:t xml:space="preserve">1</w:t>
            </w:r>
          </w:p>
        </w:tc>
        <w:tc>
          <w:tcPr>
            <w:tcW w:w="2598" w:type="dxa"/>
          </w:tcPr>
          <w:p>
            <w:r>
              <w:t xml:space="preserve">0</w:t>
            </w:r>
          </w:p>
        </w:tc>
      </w:tr>
      <w:tr>
        <w:trPr>
          <w:cantSplit/>
        </w:trPr>
        <w:tc>
          <w:tcPr>
            <w:tcW w:w="1300" w:type="dxa"/>
          </w:tcPr>
          <w:p>
            <w:r>
              <w:t xml:space="preserve">behaviour</w:t>
            </w:r>
          </w:p>
        </w:tc>
        <w:tc>
          <w:tcPr>
            <w:tcW w:w="2900" w:type="dxa"/>
          </w:tcPr>
          <w:p>
            <w:r>
              <w:t xml:space="preserve">behavioural</w:t>
            </w:r>
          </w:p>
        </w:tc>
        <w:tc>
          <w:tcPr>
            <w:tcW w:w="2500" w:type="dxa"/>
          </w:tcPr>
          <w:p>
            <w:r>
              <w:t xml:space="preserve">1</w:t>
            </w:r>
          </w:p>
        </w:tc>
        <w:tc>
          <w:tcPr>
            <w:tcW w:w="2598" w:type="dxa"/>
          </w:tcPr>
          <w:p>
            <w:r>
              <w:t xml:space="preserve">1</w:t>
            </w:r>
          </w:p>
        </w:tc>
      </w:tr>
      <w:tr>
        <w:trPr>
          <w:cantSplit/>
        </w:trPr>
        <w:tc>
          <w:tcPr>
            <w:tcW w:w="1300" w:type="dxa"/>
          </w:tcPr>
          <w:p>
            <w:r>
              <w:t xml:space="preserve">authority</w:t>
            </w:r>
          </w:p>
        </w:tc>
        <w:tc>
          <w:tcPr>
            <w:tcW w:w="2900" w:type="dxa"/>
          </w:tcPr>
          <w:p>
            <w:r>
              <w:t xml:space="preserve">authority</w:t>
            </w:r>
          </w:p>
        </w:tc>
        <w:tc>
          <w:tcPr>
            <w:tcW w:w="2500" w:type="dxa"/>
          </w:tcPr>
          <w:p>
            <w:r>
              <w:t xml:space="preserve">1</w:t>
            </w:r>
          </w:p>
        </w:tc>
        <w:tc>
          <w:tcPr>
            <w:tcW w:w="2598" w:type="dxa"/>
          </w:tcPr>
          <w:p>
            <w:r>
              <w:t xml:space="preserve">0</w:t>
            </w:r>
          </w:p>
        </w:tc>
      </w:tr>
      <w:tr>
        <w:trPr>
          <w:cantSplit/>
        </w:trPr>
        <w:tc>
          <w:tcPr>
            <w:tcW w:w="1300" w:type="dxa"/>
          </w:tcPr>
          <w:p>
            <w:r>
              <w:t xml:space="preserve">timing</w:t>
            </w:r>
          </w:p>
        </w:tc>
        <w:tc>
          <w:tcPr>
            <w:tcW w:w="2900" w:type="dxa"/>
          </w:tcPr>
          <w:p>
            <w:r>
              <w:t xml:space="preserve">temporal</w:t>
            </w:r>
          </w:p>
        </w:tc>
        <w:tc>
          <w:tcPr>
            <w:tcW w:w="2500" w:type="dxa"/>
          </w:tcPr>
          <w:p>
            <w:r>
              <w:t xml:space="preserve">1</w:t>
            </w:r>
          </w:p>
        </w:tc>
        <w:tc>
          <w:tcPr>
            <w:tcW w:w="2598" w:type="dxa"/>
          </w:tcPr>
          <w:p>
            <w:r>
              <w:t xml:space="preserve">1</w:t>
            </w:r>
          </w:p>
        </w:tc>
      </w:tr>
      <w:tr>
        <w:trPr>
          <w:cantSplit/>
        </w:trPr>
        <w:tc>
          <w:tcPr>
            <w:tcW w:w="1300" w:type="dxa"/>
          </w:tcPr>
          <w:p>
            <w:r>
              <w:t xml:space="preserve">judgement</w:t>
            </w:r>
          </w:p>
        </w:tc>
        <w:tc>
          <w:tcPr>
            <w:tcW w:w="2900" w:type="dxa"/>
          </w:tcPr>
          <w:p>
            <w:r>
              <w:t xml:space="preserve">interpretive</w:t>
            </w:r>
          </w:p>
        </w:tc>
        <w:tc>
          <w:tcPr>
            <w:tcW w:w="2500" w:type="dxa"/>
          </w:tcPr>
          <w:p>
            <w:r>
              <w:t xml:space="preserve">1</w:t>
            </w:r>
          </w:p>
        </w:tc>
        <w:tc>
          <w:tcPr>
            <w:tcW w:w="2598" w:type="dxa"/>
          </w:tcPr>
          <w:p>
            <w:r>
              <w:t xml:space="preserve">1</w:t>
            </w:r>
          </w:p>
        </w:tc>
      </w:tr>
      <w:tr>
        <w:trPr>
          <w:cantSplit/>
        </w:trPr>
        <w:tc>
          <w:tcPr>
            <w:tcW w:w="1300" w:type="dxa"/>
          </w:tcPr>
          <w:p>
            <w:r>
              <w:t xml:space="preserve">evidence</w:t>
            </w:r>
          </w:p>
        </w:tc>
        <w:tc>
          <w:tcPr>
            <w:tcW w:w="2900" w:type="dxa"/>
          </w:tcPr>
          <w:p>
            <w:r>
              <w:t xml:space="preserve">evidential</w:t>
            </w:r>
          </w:p>
        </w:tc>
        <w:tc>
          <w:tcPr>
            <w:tcW w:w="2500" w:type="dxa"/>
          </w:tcPr>
          <w:p>
            <w:r>
              <w:t xml:space="preserve">1</w:t>
            </w:r>
          </w:p>
        </w:tc>
        <w:tc>
          <w:tcPr>
            <w:tcW w:w="2598" w:type="dxa"/>
          </w:tcPr>
          <w:p>
            <w:r>
              <w:t xml:space="preserve">1</w:t>
            </w:r>
          </w:p>
        </w:tc>
      </w:tr>
    </w:tbl>
    <w:p>
      <w:pPr>
        <w:pStyle w:val="Heading3"/>
      </w:pPr>
      <w:r>
        <w:t xml:space="preserve">By workflow</w:t>
      </w:r>
    </w:p>
    <w:tbl>
      <w:tblPr>
        <w:tblStyle w:val="SunholoTable"/>
        <w:tblW w:w="9298" w:type="dxa"/>
        <w:tblLayout w:type="fixed"/>
      </w:tblPr>
      <w:tblGrid>
        <w:gridCol w:w="6197"/>
        <w:gridCol w:w="1641"/>
        <w:gridCol w:w="1460"/>
      </w:tblGrid>
      <w:tr>
        <w:trPr>
          <w:tblHeader/>
        </w:trPr>
        <w:tc>
          <w:tcPr>
            <w:tcW w:w="6197" w:type="dxa"/>
          </w:tcPr>
          <w:p>
            <w:pPr>
              <w:jc w:val="center"/>
            </w:pPr>
            <w:r>
              <w:rPr>
                <w:b/>
              </w:rPr>
              <w:t xml:space="preserve">Workflow</w:t>
            </w:r>
          </w:p>
        </w:tc>
        <w:tc>
          <w:tcPr>
            <w:tcW w:w="1641" w:type="dxa"/>
          </w:tcPr>
          <w:p>
            <w:pPr>
              <w:jc w:val="center"/>
            </w:pPr>
            <w:r>
              <w:rPr>
                <w:b/>
              </w:rPr>
              <w:t xml:space="preserve">Decisions</w:t>
            </w:r>
          </w:p>
        </w:tc>
        <w:tc>
          <w:tcPr>
            <w:tcW w:w="1460" w:type="dxa"/>
          </w:tcPr>
          <w:p>
            <w:pPr>
              <w:jc w:val="center"/>
            </w:pPr>
            <w:r>
              <w:rPr>
                <w:b/>
              </w:rPr>
              <w:t xml:space="preserve">Open</w:t>
            </w:r>
          </w:p>
        </w:tc>
      </w:tr>
      <w:tr>
        <w:tc>
          <w:tcPr>
            <w:tcW w:w="6197" w:type="dxa"/>
          </w:tcPr>
          <w:p>
            <w:r>
              <w:t xml:space="preserve">Customer delivery status enquiries</w:t>
            </w:r>
          </w:p>
        </w:tc>
        <w:tc>
          <w:tcPr>
            <w:tcW w:w="1641" w:type="dxa"/>
          </w:tcPr>
          <w:p>
            <w:r>
              <w:t xml:space="preserve">6</w:t>
            </w:r>
          </w:p>
        </w:tc>
        <w:tc>
          <w:tcPr>
            <w:tcW w:w="1460" w:type="dxa"/>
          </w:tcPr>
          <w:p>
            <w:r>
              <w:t xml:space="preserve">4</w:t>
            </w:r>
          </w:p>
        </w:tc>
      </w:tr>
    </w:tbl>
    <w:p>
      <w:pPr>
        <w:pStyle w:val="Heading2"/>
      </w:pPr>
      <w:r>
        <w:t xml:space="preserve">What must be settled, and by whom</w:t>
      </w:r>
    </w:p>
    <w:p>
      <w:r>
        <w:t xml:space="preserve">Each decision below names a proposed resolver and a date. A ⚠ marks an assignment whose acceptance is not recorded. Confirm requested dates separately from contractual requirements.</w:t>
      </w:r>
    </w:p>
    <w:p>
      <w:pPr>
        <w:pStyle w:val="Heading3"/>
      </w:pPr>
      <w:r>
        <w:t xml:space="preserve">Maya Reed (fictional)</w:t>
      </w:r>
    </w:p>
    <w:tbl>
      <w:tblPr>
        <w:tblStyle w:val="SunholoTable"/>
        <w:tblW w:w="9298" w:type="dxa"/>
        <w:tblLayout w:type="fixed"/>
      </w:tblPr>
      <w:tblGrid>
        <w:gridCol w:w="1100"/>
        <w:gridCol w:w="3998"/>
        <w:gridCol w:w="1700"/>
        <w:gridCol w:w="2500"/>
      </w:tblGrid>
      <w:tr>
        <w:trPr>
          <w:cantSplit/>
          <w:tblHeader/>
        </w:trPr>
        <w:tc>
          <w:tcPr>
            <w:tcW w:w="1100" w:type="dxa"/>
          </w:tcPr>
          <w:p>
            <w:pPr>
              <w:jc w:val="center"/>
            </w:pPr>
            <w:r>
              <w:rPr>
                <w:b/>
              </w:rPr>
              <w:t xml:space="preserve">Ref</w:t>
            </w:r>
          </w:p>
        </w:tc>
        <w:tc>
          <w:tcPr>
            <w:tcW w:w="3998" w:type="dxa"/>
          </w:tcPr>
          <w:p>
            <w:pPr>
              <w:jc w:val="center"/>
            </w:pPr>
            <w:r>
              <w:rPr>
                <w:b/>
              </w:rPr>
              <w:t xml:space="preserve">Decision</w:t>
            </w:r>
          </w:p>
        </w:tc>
        <w:tc>
          <w:tcPr>
            <w:tcW w:w="1700" w:type="dxa"/>
          </w:tcPr>
          <w:p>
            <w:pPr>
              <w:jc w:val="center"/>
            </w:pPr>
            <w:r>
              <w:rPr>
                <w:b/>
              </w:rPr>
              <w:t xml:space="preserve">Settle by</w:t>
            </w:r>
          </w:p>
        </w:tc>
        <w:tc>
          <w:tcPr>
            <w:tcW w:w="2500" w:type="dxa"/>
          </w:tcPr>
          <w:p>
            <w:pPr>
              <w:jc w:val="center"/>
            </w:pPr>
            <w:r>
              <w:rPr>
                <w:b/>
              </w:rPr>
              <w:t xml:space="preserve">If it lapses</w:t>
            </w:r>
          </w:p>
        </w:tc>
      </w:tr>
      <w:tr>
        <w:trPr>
          <w:cantSplit/>
        </w:trPr>
        <w:tc>
          <w:tcPr>
            <w:tcW w:w="1100" w:type="dxa"/>
          </w:tcPr>
          <w:p>
            <w:r>
              <w:t xml:space="preserve">D-002</w:t>
            </w:r>
          </w:p>
        </w:tc>
        <w:tc>
          <w:tcPr>
            <w:tcW w:w="3998" w:type="dxa"/>
          </w:tcPr>
          <w:p>
            <w:r>
              <w:t xml:space="preserve">Permit a bounded delivery status reply</w:t>
            </w:r>
          </w:p>
        </w:tc>
        <w:tc>
          <w:tcPr>
            <w:tcW w:w="1700" w:type="dxa"/>
          </w:tcPr>
          <w:p>
            <w:r>
              <w:t xml:space="preserve">Before the fictional pilot review</w:t>
            </w:r>
          </w:p>
        </w:tc>
        <w:tc>
          <w:tcPr>
            <w:tcW w:w="2500" w:type="dxa"/>
          </w:tcPr>
          <w:p>
            <w:r>
              <w:t xml:space="preserve">work stops</w:t>
            </w:r>
          </w:p>
        </w:tc>
      </w:tr>
      <w:tr>
        <w:trPr>
          <w:cantSplit/>
        </w:trPr>
        <w:tc>
          <w:tcPr>
            <w:tcW w:w="1100" w:type="dxa"/>
          </w:tcPr>
          <w:p>
            <w:r>
              <w:t xml:space="preserve">D-005</w:t>
            </w:r>
          </w:p>
        </w:tc>
        <w:tc>
          <w:tcPr>
            <w:tcW w:w="3998" w:type="dxa"/>
          </w:tcPr>
          <w:p>
            <w:r>
              <w:t xml:space="preserve">Approve evidence for a shadow trial</w:t>
            </w:r>
          </w:p>
        </w:tc>
        <w:tc>
          <w:tcPr>
            <w:tcW w:w="1700" w:type="dxa"/>
          </w:tcPr>
          <w:p>
            <w:r>
              <w:t xml:space="preserve">Before the fictional pilot review</w:t>
            </w:r>
          </w:p>
        </w:tc>
        <w:tc>
          <w:tcPr>
            <w:tcW w:w="2500" w:type="dxa"/>
          </w:tcPr>
          <w:p>
            <w:r>
              <w:t xml:space="preserve">work stops</w:t>
            </w:r>
          </w:p>
        </w:tc>
      </w:tr>
    </w:tbl>
    <w:p>
      <w:pPr>
        <w:pStyle w:val="Heading3"/>
      </w:pPr>
      <w:r>
        <w:t xml:space="preserve">Jon Bell (fictional)</w:t>
      </w:r>
    </w:p>
    <w:tbl>
      <w:tblPr>
        <w:tblStyle w:val="SunholoTable"/>
        <w:tblW w:w="9298" w:type="dxa"/>
        <w:tblLayout w:type="fixed"/>
      </w:tblPr>
      <w:tblGrid>
        <w:gridCol w:w="1100"/>
        <w:gridCol w:w="3998"/>
        <w:gridCol w:w="1700"/>
        <w:gridCol w:w="2500"/>
      </w:tblGrid>
      <w:tr>
        <w:trPr>
          <w:cantSplit/>
          <w:tblHeader/>
        </w:trPr>
        <w:tc>
          <w:tcPr>
            <w:tcW w:w="1100" w:type="dxa"/>
          </w:tcPr>
          <w:p>
            <w:pPr>
              <w:jc w:val="center"/>
            </w:pPr>
            <w:r>
              <w:rPr>
                <w:b/>
              </w:rPr>
              <w:t xml:space="preserve">Ref</w:t>
            </w:r>
          </w:p>
        </w:tc>
        <w:tc>
          <w:tcPr>
            <w:tcW w:w="3998" w:type="dxa"/>
          </w:tcPr>
          <w:p>
            <w:pPr>
              <w:jc w:val="center"/>
            </w:pPr>
            <w:r>
              <w:rPr>
                <w:b/>
              </w:rPr>
              <w:t xml:space="preserve">Decision</w:t>
            </w:r>
          </w:p>
        </w:tc>
        <w:tc>
          <w:tcPr>
            <w:tcW w:w="1700" w:type="dxa"/>
          </w:tcPr>
          <w:p>
            <w:pPr>
              <w:jc w:val="center"/>
            </w:pPr>
            <w:r>
              <w:rPr>
                <w:b/>
              </w:rPr>
              <w:t xml:space="preserve">Settle by</w:t>
            </w:r>
          </w:p>
        </w:tc>
        <w:tc>
          <w:tcPr>
            <w:tcW w:w="2500" w:type="dxa"/>
          </w:tcPr>
          <w:p>
            <w:pPr>
              <w:jc w:val="center"/>
            </w:pPr>
            <w:r>
              <w:rPr>
                <w:b/>
              </w:rPr>
              <w:t xml:space="preserve">If it lapses</w:t>
            </w:r>
          </w:p>
        </w:tc>
      </w:tr>
      <w:tr>
        <w:trPr>
          <w:cantSplit/>
        </w:trPr>
        <w:tc>
          <w:tcPr>
            <w:tcW w:w="1100" w:type="dxa"/>
          </w:tcPr>
          <w:p>
            <w:r>
              <w:t xml:space="preserve">D-004</w:t>
            </w:r>
          </w:p>
        </w:tc>
        <w:tc>
          <w:tcPr>
            <w:tcW w:w="3998" w:type="dxa"/>
          </w:tcPr>
          <w:p>
            <w:r>
              <w:t xml:space="preserve">Set the missing-record handover deadline</w:t>
            </w:r>
          </w:p>
        </w:tc>
        <w:tc>
          <w:tcPr>
            <w:tcW w:w="1700" w:type="dxa"/>
          </w:tcPr>
          <w:p>
            <w:r>
              <w:t xml:space="preserve">Before the fictional pilot review</w:t>
            </w:r>
          </w:p>
        </w:tc>
        <w:tc>
          <w:tcPr>
            <w:tcW w:w="2500" w:type="dxa"/>
          </w:tcPr>
          <w:p>
            <w:r>
              <w:t xml:space="preserve">work stops</w:t>
            </w:r>
          </w:p>
        </w:tc>
      </w:tr>
      <w:tr>
        <w:trPr>
          <w:cantSplit/>
        </w:trPr>
        <w:tc>
          <w:tcPr>
            <w:tcW w:w="1100" w:type="dxa"/>
          </w:tcPr>
          <w:p>
            <w:r>
              <w:t xml:space="preserve">D-006</w:t>
            </w:r>
          </w:p>
        </w:tc>
        <w:tc>
          <w:tcPr>
            <w:tcW w:w="3998" w:type="dxa"/>
          </w:tcPr>
          <w:p>
            <w:r>
              <w:t xml:space="preserve">Make decisions reconstructable</w:t>
            </w:r>
          </w:p>
        </w:tc>
        <w:tc>
          <w:tcPr>
            <w:tcW w:w="1700" w:type="dxa"/>
          </w:tcPr>
          <w:p>
            <w:r>
              <w:t xml:space="preserve">Before the fictional pilot review</w:t>
            </w:r>
          </w:p>
        </w:tc>
        <w:tc>
          <w:tcPr>
            <w:tcW w:w="2500" w:type="dxa"/>
          </w:tcPr>
          <w:p>
            <w:r>
              <w:t xml:space="preserve">work stops</w:t>
            </w:r>
          </w:p>
        </w:tc>
      </w:tr>
    </w:tbl>
    <w:p>
      <w:pPr>
        <w:pStyle w:val="Heading2"/>
      </w:pPr>
      <w:r>
        <w:t xml:space="preserve">The decisions</w:t>
      </w:r>
    </w:p>
    <w:p>
      <w:r>
        <w:t xml:space="preserve">Every decision in scope, grouped by the workflow it belongs to. Each carries where it came from, so it can be checked against your own material rather than taken on trust.</w:t>
      </w:r>
    </w:p>
    <w:p>
      <w:pPr>
        <w:pStyle w:val="Heading3"/>
      </w:pPr>
      <w:r>
        <w:t xml:space="preserve">Customer delivery status enquiries</w:t>
      </w:r>
    </w:p>
    <w:p>
      <w:r>
        <w:t xml:space="preserve">Invented online homewares shop considering a support assistant.</w:t>
      </w:r>
    </w:p>
    <w:p>
      <w:pPr>
        <w:pStyle w:val="Heading4"/>
      </w:pPr>
      <w:r>
        <w:t xml:space="preserve">D-001 · Choose the authoritative delivery status</w:t>
      </w:r>
    </w:p>
    <w:p>
      <w:r>
        <w:t xml:space="preserve">Use the order system for fulfilment status and the carrier record for tracking events. If records conflict, withhold a definitive answer and hand over.</w:t>
      </w:r>
    </w:p>
    <w:tbl>
      <w:tblPr>
        <w:tblStyle w:val="SunholoTable"/>
        <w:tblW w:w="9298" w:type="dxa"/>
        <w:tblLayout w:type="fixed"/>
      </w:tblPr>
      <w:tblGrid>
        <w:gridCol w:w="2100"/>
        <w:gridCol w:w="7198"/>
      </w:tblGrid>
      <w:tr>
        <w:trPr>
          <w:cantSplit/>
          <w:tblHeader/>
        </w:trPr>
        <w:tc>
          <w:tcPr>
            <w:tcW w:w="2100" w:type="dxa"/>
          </w:tcPr>
          <w:p>
            <w:pPr>
              <w:jc w:val="center"/>
            </w:pPr>
            <w:r>
              <w:rPr>
                <w:b/>
              </w:rPr>
              <w:t xml:space="preserve">Field</w:t>
            </w:r>
          </w:p>
        </w:tc>
        <w:tc>
          <w:tcPr>
            <w:tcW w:w="7198" w:type="dxa"/>
          </w:tcPr>
          <w:p>
            <w:pPr>
              <w:jc w:val="center"/>
            </w:pPr>
            <w:r>
              <w:rPr>
                <w:b/>
              </w:rPr>
              <w:t xml:space="preserve">Detail</w:t>
            </w:r>
          </w:p>
        </w:tc>
      </w:tr>
      <w:tr>
        <w:trPr>
          <w:cantSplit/>
        </w:trPr>
        <w:tc>
          <w:tcPr>
            <w:tcW w:w="2100" w:type="dxa"/>
          </w:tcPr>
          <w:p>
            <w:r>
              <w:t xml:space="preserve">Axis</w:t>
            </w:r>
          </w:p>
        </w:tc>
        <w:tc>
          <w:tcPr>
            <w:tcW w:w="7198" w:type="dxa"/>
          </w:tcPr>
          <w:p>
            <w:r>
              <w:t xml:space="preserve">meaning</w:t>
            </w:r>
          </w:p>
        </w:tc>
      </w:tr>
      <w:tr>
        <w:trPr>
          <w:cantSplit/>
        </w:trPr>
        <w:tc>
          <w:tcPr>
            <w:tcW w:w="2100" w:type="dxa"/>
          </w:tcPr>
          <w:p>
            <w:r>
              <w:t xml:space="preserve">Status</w:t>
            </w:r>
          </w:p>
        </w:tc>
        <w:tc>
          <w:tcPr>
            <w:tcW w:w="7198" w:type="dxa"/>
          </w:tcPr>
          <w:p>
            <w:r>
              <w:t xml:space="preserve">Settled</w:t>
            </w:r>
          </w:p>
        </w:tc>
      </w:tr>
      <w:tr>
        <w:trPr>
          <w:cantSplit/>
        </w:trPr>
        <w:tc>
          <w:tcPr>
            <w:tcW w:w="2100" w:type="dxa"/>
          </w:tcPr>
          <w:p>
            <w:r>
              <w:t xml:space="preserve">Who decides</w:t>
            </w:r>
          </w:p>
        </w:tc>
        <w:tc>
          <w:tcPr>
            <w:tcW w:w="7198" w:type="dxa"/>
          </w:tcPr>
          <w:p>
            <w:r>
              <w:t xml:space="preserve">A named person resolves this</w:t>
            </w:r>
          </w:p>
        </w:tc>
      </w:tr>
      <w:tr>
        <w:trPr>
          <w:cantSplit/>
        </w:trPr>
        <w:tc>
          <w:tcPr>
            <w:tcW w:w="2100" w:type="dxa"/>
          </w:tcPr>
          <w:p>
            <w:r>
              <w:t xml:space="preserve">Resolver</w:t>
            </w:r>
          </w:p>
        </w:tc>
        <w:tc>
          <w:tcPr>
            <w:tcW w:w="7198" w:type="dxa"/>
          </w:tcPr>
          <w:p>
            <w:r>
              <w:t xml:space="preserve">Jon Bell (fictional) — Operations owner</w:t>
            </w:r>
          </w:p>
        </w:tc>
      </w:tr>
    </w:tbl>
    <w:p>
      <w:r>
        <w:rPr>
          <w:b/>
        </w:rPr>
        <w:t xml:space="preserve">Decided today by:</w:t>
      </w:r>
      <w:r>
        <w:t xml:space="preserve"> Maya Reed (fictional) — Support lead</w:t>
      </w:r>
    </w:p>
    <w:p>
      <w:r>
        <w:rPr>
          <w:b/>
        </w:rPr>
        <w:t xml:space="preserve">If unavailable:</w:t>
      </w:r>
      <w:r>
        <w:t xml:space="preserve"> Maya Reed (fictional) — Support lead</w:t>
      </w:r>
    </w:p>
    <w:p>
      <w:r>
        <w:t xml:space="preserve">A confident reply could promise delivery against the wrong record.</w:t>
      </w:r>
    </w:p>
    <w:p>
      <w:r>
        <w:rPr>
          <w:b/>
        </w:rPr>
        <w:t xml:space="preserve">Recorded each time:</w:t>
      </w:r>
    </w:p>
    <w:p>
      <w:pPr>
        <w:pStyle w:val="ListParagraph"/>
        <w:numPr>
          <w:ilvl w:val="0"/>
          <w:numId w:val="1"/>
        </w:numPr>
      </w:pPr>
      <w:r>
        <w:t xml:space="preserve">Decision ID</w:t>
      </w:r>
    </w:p>
    <w:p>
      <w:pPr>
        <w:pStyle w:val="ListParagraph"/>
        <w:numPr>
          <w:ilvl w:val="0"/>
          <w:numId w:val="1"/>
        </w:numPr>
      </w:pPr>
      <w:r>
        <w:t xml:space="preserve">Source record reference</w:t>
      </w:r>
    </w:p>
    <w:p>
      <w:pPr>
        <w:pStyle w:val="ListParagraph"/>
        <w:numPr>
          <w:ilvl w:val="0"/>
          <w:numId w:val="1"/>
        </w:numPr>
      </w:pPr>
      <w:r>
        <w:t xml:space="preserve">Human outcome and reason</w:t>
      </w:r>
    </w:p>
    <w:p>
      <w:r>
        <w:rPr>
          <w:b/>
        </w:rPr>
        <w:t xml:space="preserve">Accountable for the outcome:</w:t>
      </w:r>
      <w:r>
        <w:t xml:space="preserve"> Jon Bell (fictional) — Operations owner</w:t>
      </w:r>
    </w:p>
    <w:p>
      <w:r>
        <w:rPr>
          <w:i/>
        </w:rPr>
        <w:t xml:space="preserve">Where this came from:</w:t>
      </w:r>
    </w:p>
    <w:p>
      <w:pPr>
        <w:pStyle w:val="ListParagraph"/>
        <w:numPr>
          <w:ilvl w:val="0"/>
          <w:numId w:val="1"/>
        </w:numPr>
      </w:pPr>
      <w:r>
        <w:t xml:space="preserve">Invented support runbook — D-001</w:t>
      </w:r>
    </w:p>
    <w:p>
      <w:r>
        <w:rPr>
          <w:i/>
        </w:rPr>
        <w:t xml:space="preserve">Note: Fictional demonstration. Settled means agreed within this invented scenario, not approval by a real client.</w:t>
      </w:r>
    </w:p>
    <w:p>
      <w:pPr>
        <w:pStyle w:val="Heading4"/>
      </w:pPr>
      <w:r>
        <w:t xml:space="preserve">D-002 · Permit a bounded delivery status reply</w:t>
      </w:r>
    </w:p>
    <w:p>
      <w:r>
        <w:t xml:space="preserve">Consider unattended status-only replies to authenticated customers after evidence review. The current pilot remains held; no customer message is sent automatically.</w:t>
      </w:r>
    </w:p>
    <w:tbl>
      <w:tblPr>
        <w:tblStyle w:val="SunholoTable"/>
        <w:tblW w:w="9298" w:type="dxa"/>
        <w:tblLayout w:type="fixed"/>
      </w:tblPr>
      <w:tblGrid>
        <w:gridCol w:w="2100"/>
        <w:gridCol w:w="7198"/>
      </w:tblGrid>
      <w:tr>
        <w:trPr>
          <w:cantSplit/>
          <w:tblHeader/>
        </w:trPr>
        <w:tc>
          <w:tcPr>
            <w:tcW w:w="2100" w:type="dxa"/>
          </w:tcPr>
          <w:p>
            <w:pPr>
              <w:jc w:val="center"/>
            </w:pPr>
            <w:r>
              <w:rPr>
                <w:b/>
              </w:rPr>
              <w:t xml:space="preserve">Field</w:t>
            </w:r>
          </w:p>
        </w:tc>
        <w:tc>
          <w:tcPr>
            <w:tcW w:w="7198" w:type="dxa"/>
          </w:tcPr>
          <w:p>
            <w:pPr>
              <w:jc w:val="center"/>
            </w:pPr>
            <w:r>
              <w:rPr>
                <w:b/>
              </w:rPr>
              <w:t xml:space="preserve">Detail</w:t>
            </w:r>
          </w:p>
        </w:tc>
      </w:tr>
      <w:tr>
        <w:trPr>
          <w:cantSplit/>
        </w:trPr>
        <w:tc>
          <w:tcPr>
            <w:tcW w:w="2100" w:type="dxa"/>
          </w:tcPr>
          <w:p>
            <w:r>
              <w:t xml:space="preserve">Axis</w:t>
            </w:r>
          </w:p>
        </w:tc>
        <w:tc>
          <w:tcPr>
            <w:tcW w:w="7198" w:type="dxa"/>
          </w:tcPr>
          <w:p>
            <w:r>
              <w:t xml:space="preserve">behaviour</w:t>
            </w:r>
          </w:p>
        </w:tc>
      </w:tr>
      <w:tr>
        <w:trPr>
          <w:cantSplit/>
        </w:trPr>
        <w:tc>
          <w:tcPr>
            <w:tcW w:w="2100" w:type="dxa"/>
          </w:tcPr>
          <w:p>
            <w:r>
              <w:t xml:space="preserve">Status</w:t>
            </w:r>
          </w:p>
        </w:tc>
        <w:tc>
          <w:tcPr>
            <w:tcW w:w="7198" w:type="dxa"/>
          </w:tcPr>
          <w:p>
            <w:r>
              <w:rPr>
                <w:b/>
              </w:rPr>
              <w:t xml:space="preserve">Open</w:t>
            </w:r>
          </w:p>
        </w:tc>
      </w:tr>
      <w:tr>
        <w:trPr>
          <w:cantSplit/>
        </w:trPr>
        <w:tc>
          <w:tcPr>
            <w:tcW w:w="2100" w:type="dxa"/>
          </w:tcPr>
          <w:p>
            <w:r>
              <w:t xml:space="preserve">Who decides</w:t>
            </w:r>
          </w:p>
        </w:tc>
        <w:tc>
          <w:tcPr>
            <w:tcW w:w="7198" w:type="dxa"/>
          </w:tcPr>
          <w:p>
            <w:r>
              <w:t xml:space="preserve">The system resolves this within stated limits</w:t>
            </w:r>
          </w:p>
        </w:tc>
      </w:tr>
      <w:tr>
        <w:trPr>
          <w:cantSplit/>
        </w:trPr>
        <w:tc>
          <w:tcPr>
            <w:tcW w:w="2100" w:type="dxa"/>
          </w:tcPr>
          <w:p>
            <w:r>
              <w:t xml:space="preserve">Resolver</w:t>
            </w:r>
          </w:p>
        </w:tc>
        <w:tc>
          <w:tcPr>
            <w:tcW w:w="7198" w:type="dxa"/>
          </w:tcPr>
          <w:p>
            <w:r>
              <w:t xml:space="preserve">Maya Reed (fictional) — Support lead</w:t>
            </w:r>
          </w:p>
        </w:tc>
      </w:tr>
      <w:tr>
        <w:trPr>
          <w:cantSplit/>
        </w:trPr>
        <w:tc>
          <w:tcPr>
            <w:tcW w:w="2100" w:type="dxa"/>
          </w:tcPr>
          <w:p>
            <w:r>
              <w:t xml:space="preserve">Where it sits today</w:t>
            </w:r>
          </w:p>
        </w:tc>
        <w:tc>
          <w:tcPr>
            <w:tcW w:w="7198" w:type="dxa"/>
          </w:tcPr>
          <w:p>
            <w:r>
              <w:rPr>
                <w:b/>
              </w:rPr>
              <w:t xml:space="preserve">Held.</w:t>
            </w:r>
            <w:r>
              <w:t xml:space="preserve"> A person decides this every time</w:t>
            </w:r>
          </w:p>
        </w:tc>
      </w:tr>
    </w:tbl>
    <w:p>
      <w:r>
        <w:rPr>
          <w:b/>
        </w:rPr>
        <w:t xml:space="preserve">Decided today by:</w:t>
      </w:r>
      <w:r>
        <w:t xml:space="preserve"> Maya Reed (fictional) — Support lead</w:t>
      </w:r>
    </w:p>
    <w:p>
      <w:r>
        <w:rPr>
          <w:b/>
        </w:rPr>
        <w:t xml:space="preserve">If unavailable:</w:t>
      </w:r>
      <w:r>
        <w:t xml:space="preserve"> Jon Bell (fictional) — Operations owner</w:t>
      </w:r>
    </w:p>
    <w:p>
      <w:r>
        <w:rPr>
          <w:b/>
        </w:rPr>
        <w:t xml:space="preserve">Cannot be settled until:</w:t>
      </w:r>
      <w:r>
        <w:t xml:space="preserve"> </w:t>
      </w:r>
      <w:r>
        <w:rPr>
          <w:b/>
        </w:rPr>
        <w:t xml:space="preserve">D-004</w:t>
      </w:r>
      <w:r>
        <w:t xml:space="preserve"> Set the missing-record handover deadline, </w:t>
      </w:r>
      <w:r>
        <w:rPr>
          <w:b/>
        </w:rPr>
        <w:t xml:space="preserve">D-005</w:t>
      </w:r>
      <w:r>
        <w:t xml:space="preserve"> Approve evidence for a shadow trial, </w:t>
      </w:r>
      <w:r>
        <w:rPr>
          <w:b/>
        </w:rPr>
        <w:t xml:space="preserve">D-006</w:t>
      </w:r>
      <w:r>
        <w:t xml:space="preserve"> Make decisions reconstructable</w:t>
      </w:r>
    </w:p>
    <w:p>
      <w:r>
        <w:rPr>
          <w:b/>
        </w:rPr>
        <w:t xml:space="preserve">Settle by Before the fictional pilot review.</w:t>
      </w:r>
      <w:r>
        <w:t xml:space="preserve"> If it lapses, work stops.</w:t>
      </w:r>
    </w:p>
    <w:p>
      <w:r>
        <w:rPr>
          <w:b/>
        </w:rPr>
        <w:t xml:space="preserve">Limits.</w:t>
      </w:r>
      <w:r>
        <w:t xml:space="preserve"> Future target only: status-only queries, authenticated customer, matching order ownership, current non-conflicting source records. Otherwise hold and escalate.</w:t>
      </w:r>
    </w:p>
    <w:tbl>
      <w:tblPr>
        <w:tblStyle w:val="SunholoTable"/>
        <w:tblW w:w="9298" w:type="dxa"/>
        <w:tblLayout w:type="fixed"/>
      </w:tblPr>
      <w:tblGrid>
        <w:gridCol w:w="1300"/>
        <w:gridCol w:w="2900"/>
        <w:gridCol w:w="2500"/>
        <w:gridCol w:w="2598"/>
      </w:tblGrid>
      <w:tr>
        <w:trPr>
          <w:cantSplit/>
          <w:tblHeader/>
        </w:trPr>
        <w:tc>
          <w:tcPr>
            <w:tcW w:w="1300" w:type="dxa"/>
          </w:tcPr>
          <w:p>
            <w:pPr>
              <w:jc w:val="center"/>
            </w:pPr>
            <w:r>
              <w:rPr>
                <w:b/>
              </w:rPr>
              <w:t xml:space="preserve">Check</w:t>
            </w:r>
          </w:p>
        </w:tc>
        <w:tc>
          <w:tcPr>
            <w:tcW w:w="2900" w:type="dxa"/>
          </w:tcPr>
          <w:p>
            <w:pPr>
              <w:jc w:val="center"/>
            </w:pPr>
            <w:r>
              <w:rPr>
                <w:b/>
              </w:rPr>
              <w:t xml:space="preserve">Condition</w:t>
            </w:r>
          </w:p>
        </w:tc>
        <w:tc>
          <w:tcPr>
            <w:tcW w:w="2500" w:type="dxa"/>
          </w:tcPr>
          <w:p>
            <w:pPr>
              <w:jc w:val="center"/>
            </w:pPr>
            <w:r>
              <w:rPr>
                <w:b/>
              </w:rPr>
              <w:t xml:space="preserve">How</w:t>
            </w:r>
          </w:p>
        </w:tc>
        <w:tc>
          <w:tcPr>
            <w:tcW w:w="2598" w:type="dxa"/>
          </w:tcPr>
          <w:p>
            <w:pPr>
              <w:jc w:val="center"/>
            </w:pPr>
            <w:r>
              <w:rPr>
                <w:b/>
              </w:rPr>
              <w:t xml:space="preserve">When</w:t>
            </w:r>
          </w:p>
        </w:tc>
      </w:tr>
      <w:tr>
        <w:trPr>
          <w:cantSplit/>
        </w:trPr>
        <w:tc>
          <w:tcPr>
            <w:tcW w:w="1300" w:type="dxa"/>
          </w:tcPr>
          <w:p>
            <w:r>
              <w:t xml:space="preserve">L-01</w:t>
            </w:r>
          </w:p>
        </w:tc>
        <w:tc>
          <w:tcPr>
            <w:tcW w:w="2900" w:type="dxa"/>
          </w:tcPr>
          <w:p>
            <w:r>
              <w:t xml:space="preserve">Reviewer confirms customer identity and order ownership were verified.</w:t>
            </w:r>
          </w:p>
        </w:tc>
        <w:tc>
          <w:tcPr>
            <w:tcW w:w="2500" w:type="dxa"/>
          </w:tcPr>
          <w:p>
            <w:r>
              <w:t xml:space="preserve">manual</w:t>
            </w:r>
          </w:p>
        </w:tc>
        <w:tc>
          <w:tcPr>
            <w:tcW w:w="2598" w:type="dxa"/>
          </w:tcPr>
          <w:p>
            <w:r>
              <w:t xml:space="preserve">—</w:t>
            </w:r>
          </w:p>
        </w:tc>
      </w:tr>
      <w:tr>
        <w:trPr>
          <w:cantSplit/>
        </w:trPr>
        <w:tc>
          <w:tcPr>
            <w:tcW w:w="1300" w:type="dxa"/>
          </w:tcPr>
          <w:p>
            <w:r>
              <w:t xml:space="preserve">L-02</w:t>
            </w:r>
          </w:p>
        </w:tc>
        <w:tc>
          <w:tcPr>
            <w:tcW w:w="2900" w:type="dxa"/>
          </w:tcPr>
          <w:p>
            <w:r>
              <w:t xml:space="preserve">Reviewer confirms every factual claim appears in the retrieved record and no conflicting source is ignored.</w:t>
            </w:r>
          </w:p>
        </w:tc>
        <w:tc>
          <w:tcPr>
            <w:tcW w:w="2500" w:type="dxa"/>
          </w:tcPr>
          <w:p>
            <w:r>
              <w:t xml:space="preserve">manual</w:t>
            </w:r>
          </w:p>
        </w:tc>
        <w:tc>
          <w:tcPr>
            <w:tcW w:w="2598" w:type="dxa"/>
          </w:tcPr>
          <w:p>
            <w:r>
              <w:t xml:space="preserve">—</w:t>
            </w:r>
          </w:p>
        </w:tc>
      </w:tr>
      <w:tr>
        <w:trPr>
          <w:cantSplit/>
        </w:trPr>
        <w:tc>
          <w:tcPr>
            <w:tcW w:w="1300" w:type="dxa"/>
          </w:tcPr>
          <w:p>
            <w:r>
              <w:t xml:space="preserve">L-03</w:t>
            </w:r>
          </w:p>
        </w:tc>
        <w:tc>
          <w:tcPr>
            <w:tcW w:w="2900" w:type="dxa"/>
          </w:tcPr>
          <w:p>
            <w:r>
              <w:t xml:space="preserve">Reviewer confirms the reply neither issues a refund, changes an address nor promises a delivery date absent from the source.</w:t>
            </w:r>
          </w:p>
        </w:tc>
        <w:tc>
          <w:tcPr>
            <w:tcW w:w="2500" w:type="dxa"/>
          </w:tcPr>
          <w:p>
            <w:r>
              <w:t xml:space="preserve">manual</w:t>
            </w:r>
          </w:p>
        </w:tc>
        <w:tc>
          <w:tcPr>
            <w:tcW w:w="2598" w:type="dxa"/>
          </w:tcPr>
          <w:p>
            <w:r>
              <w:t xml:space="preserve">—</w:t>
            </w:r>
          </w:p>
        </w:tc>
      </w:tr>
    </w:tbl>
    <w:p>
      <w:r>
        <w:rPr>
          <w:b/>
        </w:rPr>
        <w:t xml:space="preserve">What would move it up:</w:t>
      </w:r>
      <w:r>
        <w:t xml:space="preserve"> Approve D-004 to D-006, then instrument and run a shadow comparison before considering checked operation.</w:t>
      </w:r>
    </w:p>
    <w:p>
      <w:r>
        <w:rPr>
          <w:b/>
        </w:rPr>
        <w:t xml:space="preserve">Forbidden.</w:t>
      </w:r>
    </w:p>
    <w:p>
      <w:pPr>
        <w:pStyle w:val="ListParagraph"/>
        <w:numPr>
          <w:ilvl w:val="0"/>
          <w:numId w:val="1"/>
        </w:numPr>
      </w:pPr>
      <w:r>
        <w:t xml:space="preserve">Issue refunds</w:t>
      </w:r>
    </w:p>
    <w:p>
      <w:pPr>
        <w:pStyle w:val="ListParagraph"/>
        <w:numPr>
          <w:ilvl w:val="0"/>
          <w:numId w:val="1"/>
        </w:numPr>
      </w:pPr>
      <w:r>
        <w:t xml:space="preserve">Change delivery addresses</w:t>
      </w:r>
    </w:p>
    <w:p>
      <w:pPr>
        <w:pStyle w:val="ListParagraph"/>
        <w:numPr>
          <w:ilvl w:val="0"/>
          <w:numId w:val="1"/>
        </w:numPr>
      </w:pPr>
      <w:r>
        <w:t xml:space="preserve">Invent a delivery date</w:t>
      </w:r>
    </w:p>
    <w:p>
      <w:pPr>
        <w:pStyle w:val="ListParagraph"/>
        <w:numPr>
          <w:ilvl w:val="0"/>
          <w:numId w:val="1"/>
        </w:numPr>
      </w:pPr>
      <w:r>
        <w:t xml:space="preserve">Send unattended messages before explicit promotion approval</w:t>
      </w:r>
    </w:p>
    <w:p>
      <w:r>
        <w:t xml:space="preserve">A draft capability could become permission to make unsupported promises.</w:t>
      </w:r>
    </w:p>
    <w:p>
      <w:r>
        <w:rPr>
          <w:b/>
        </w:rPr>
        <w:t xml:space="preserve">Recorded each time:</w:t>
      </w:r>
    </w:p>
    <w:p>
      <w:pPr>
        <w:pStyle w:val="ListParagraph"/>
        <w:numPr>
          <w:ilvl w:val="0"/>
          <w:numId w:val="1"/>
        </w:numPr>
      </w:pPr>
      <w:r>
        <w:t xml:space="preserve">Decision ID</w:t>
      </w:r>
    </w:p>
    <w:p>
      <w:pPr>
        <w:pStyle w:val="ListParagraph"/>
        <w:numPr>
          <w:ilvl w:val="0"/>
          <w:numId w:val="1"/>
        </w:numPr>
      </w:pPr>
      <w:r>
        <w:t xml:space="preserve">Source record reference</w:t>
      </w:r>
    </w:p>
    <w:p>
      <w:pPr>
        <w:pStyle w:val="ListParagraph"/>
        <w:numPr>
          <w:ilvl w:val="0"/>
          <w:numId w:val="1"/>
        </w:numPr>
      </w:pPr>
      <w:r>
        <w:t xml:space="preserve">Human outcome and reason</w:t>
      </w:r>
    </w:p>
    <w:p>
      <w:r>
        <w:rPr>
          <w:b/>
        </w:rPr>
        <w:t xml:space="preserve">Accountable for the outcome:</w:t>
      </w:r>
      <w:r>
        <w:t xml:space="preserve"> Jon Bell (fictional) — Operations owner</w:t>
      </w:r>
    </w:p>
    <w:p>
      <w:r>
        <w:rPr>
          <w:i/>
        </w:rPr>
        <w:t xml:space="preserve">Where this came from:</w:t>
      </w:r>
    </w:p>
    <w:p>
      <w:pPr>
        <w:pStyle w:val="ListParagraph"/>
        <w:numPr>
          <w:ilvl w:val="0"/>
          <w:numId w:val="1"/>
        </w:numPr>
      </w:pPr>
      <w:r>
        <w:t xml:space="preserve">Invented pilot planning notes — D-002</w:t>
      </w:r>
    </w:p>
    <w:p>
      <w:r>
        <w:rPr>
          <w:i/>
        </w:rPr>
        <w:t xml:space="preserve">Note: Fictional demonstration. Settled means agreed within this invented scenario, not approval by a real client.</w:t>
      </w:r>
    </w:p>
    <w:p>
      <w:pPr>
        <w:pStyle w:val="Heading4"/>
      </w:pPr>
      <w:r>
        <w:t xml:space="preserve">D-003 · Keep refunds and address changes with people</w:t>
      </w:r>
    </w:p>
    <w:p>
      <w:r>
        <w:t xml:space="preserve">Only the support lead or deputy may decide refund and address-change requests. The assistant may identify and route the request; it cannot execute it.</w:t>
      </w:r>
    </w:p>
    <w:tbl>
      <w:tblPr>
        <w:tblStyle w:val="SunholoTable"/>
        <w:tblW w:w="9298" w:type="dxa"/>
        <w:tblLayout w:type="fixed"/>
      </w:tblPr>
      <w:tblGrid>
        <w:gridCol w:w="2100"/>
        <w:gridCol w:w="7198"/>
      </w:tblGrid>
      <w:tr>
        <w:trPr>
          <w:cantSplit/>
          <w:tblHeader/>
        </w:trPr>
        <w:tc>
          <w:tcPr>
            <w:tcW w:w="2100" w:type="dxa"/>
          </w:tcPr>
          <w:p>
            <w:pPr>
              <w:jc w:val="center"/>
            </w:pPr>
            <w:r>
              <w:rPr>
                <w:b/>
              </w:rPr>
              <w:t xml:space="preserve">Field</w:t>
            </w:r>
          </w:p>
        </w:tc>
        <w:tc>
          <w:tcPr>
            <w:tcW w:w="7198" w:type="dxa"/>
          </w:tcPr>
          <w:p>
            <w:pPr>
              <w:jc w:val="center"/>
            </w:pPr>
            <w:r>
              <w:rPr>
                <w:b/>
              </w:rPr>
              <w:t xml:space="preserve">Detail</w:t>
            </w:r>
          </w:p>
        </w:tc>
      </w:tr>
      <w:tr>
        <w:trPr>
          <w:cantSplit/>
        </w:trPr>
        <w:tc>
          <w:tcPr>
            <w:tcW w:w="2100" w:type="dxa"/>
          </w:tcPr>
          <w:p>
            <w:r>
              <w:t xml:space="preserve">Axis</w:t>
            </w:r>
          </w:p>
        </w:tc>
        <w:tc>
          <w:tcPr>
            <w:tcW w:w="7198" w:type="dxa"/>
          </w:tcPr>
          <w:p>
            <w:r>
              <w:t xml:space="preserve">authority</w:t>
            </w:r>
          </w:p>
        </w:tc>
      </w:tr>
      <w:tr>
        <w:trPr>
          <w:cantSplit/>
        </w:trPr>
        <w:tc>
          <w:tcPr>
            <w:tcW w:w="2100" w:type="dxa"/>
          </w:tcPr>
          <w:p>
            <w:r>
              <w:t xml:space="preserve">Status</w:t>
            </w:r>
          </w:p>
        </w:tc>
        <w:tc>
          <w:tcPr>
            <w:tcW w:w="7198" w:type="dxa"/>
          </w:tcPr>
          <w:p>
            <w:r>
              <w:t xml:space="preserve">Settled</w:t>
            </w:r>
          </w:p>
        </w:tc>
      </w:tr>
      <w:tr>
        <w:trPr>
          <w:cantSplit/>
        </w:trPr>
        <w:tc>
          <w:tcPr>
            <w:tcW w:w="2100" w:type="dxa"/>
          </w:tcPr>
          <w:p>
            <w:r>
              <w:t xml:space="preserve">Who decides</w:t>
            </w:r>
          </w:p>
        </w:tc>
        <w:tc>
          <w:tcPr>
            <w:tcW w:w="7198" w:type="dxa"/>
          </w:tcPr>
          <w:p>
            <w:r>
              <w:t xml:space="preserve">A named person resolves this</w:t>
            </w:r>
          </w:p>
        </w:tc>
      </w:tr>
      <w:tr>
        <w:trPr>
          <w:cantSplit/>
        </w:trPr>
        <w:tc>
          <w:tcPr>
            <w:tcW w:w="2100" w:type="dxa"/>
          </w:tcPr>
          <w:p>
            <w:r>
              <w:t xml:space="preserve">Resolver</w:t>
            </w:r>
          </w:p>
        </w:tc>
        <w:tc>
          <w:tcPr>
            <w:tcW w:w="7198" w:type="dxa"/>
          </w:tcPr>
          <w:p>
            <w:r>
              <w:t xml:space="preserve">Maya Reed (fictional) — Support lead</w:t>
            </w:r>
          </w:p>
        </w:tc>
      </w:tr>
    </w:tbl>
    <w:p>
      <w:r>
        <w:rPr>
          <w:b/>
        </w:rPr>
        <w:t xml:space="preserve">Decided today by:</w:t>
      </w:r>
      <w:r>
        <w:t xml:space="preserve"> Maya Reed (fictional) — Support lead</w:t>
      </w:r>
    </w:p>
    <w:p>
      <w:r>
        <w:rPr>
          <w:b/>
        </w:rPr>
        <w:t xml:space="preserve">If unavailable:</w:t>
      </w:r>
      <w:r>
        <w:t xml:space="preserve"> Jon Bell (fictional) — Operations owner</w:t>
      </w:r>
    </w:p>
    <w:p>
      <w:r>
        <w:t xml:space="preserve">A status query could trigger an unauthorised financial or address change.</w:t>
      </w:r>
    </w:p>
    <w:p>
      <w:r>
        <w:rPr>
          <w:b/>
        </w:rPr>
        <w:t xml:space="preserve">Recorded each time:</w:t>
      </w:r>
    </w:p>
    <w:p>
      <w:pPr>
        <w:pStyle w:val="ListParagraph"/>
        <w:numPr>
          <w:ilvl w:val="0"/>
          <w:numId w:val="1"/>
        </w:numPr>
      </w:pPr>
      <w:r>
        <w:t xml:space="preserve">Decision ID</w:t>
      </w:r>
    </w:p>
    <w:p>
      <w:pPr>
        <w:pStyle w:val="ListParagraph"/>
        <w:numPr>
          <w:ilvl w:val="0"/>
          <w:numId w:val="1"/>
        </w:numPr>
      </w:pPr>
      <w:r>
        <w:t xml:space="preserve">Source record reference</w:t>
      </w:r>
    </w:p>
    <w:p>
      <w:pPr>
        <w:pStyle w:val="ListParagraph"/>
        <w:numPr>
          <w:ilvl w:val="0"/>
          <w:numId w:val="1"/>
        </w:numPr>
      </w:pPr>
      <w:r>
        <w:t xml:space="preserve">Human outcome and reason</w:t>
      </w:r>
    </w:p>
    <w:p>
      <w:r>
        <w:rPr>
          <w:b/>
        </w:rPr>
        <w:t xml:space="preserve">Accountable for the outcome:</w:t>
      </w:r>
      <w:r>
        <w:t xml:space="preserve"> Jon Bell (fictional) — Operations owner</w:t>
      </w:r>
    </w:p>
    <w:p>
      <w:r>
        <w:rPr>
          <w:i/>
        </w:rPr>
        <w:t xml:space="preserve">Where this came from:</w:t>
      </w:r>
    </w:p>
    <w:p>
      <w:pPr>
        <w:pStyle w:val="ListParagraph"/>
        <w:numPr>
          <w:ilvl w:val="0"/>
          <w:numId w:val="1"/>
        </w:numPr>
      </w:pPr>
      <w:r>
        <w:t xml:space="preserve">Invented support runbook — D-003</w:t>
      </w:r>
    </w:p>
    <w:p>
      <w:r>
        <w:rPr>
          <w:i/>
        </w:rPr>
        <w:t xml:space="preserve">Note: Fictional demonstration. Settled means agreed within this invented scenario, not approval by a real client.</w:t>
      </w:r>
    </w:p>
    <w:p>
      <w:pPr>
        <w:pStyle w:val="Heading4"/>
      </w:pPr>
      <w:r>
        <w:t xml:space="preserve">D-004 · Set the missing-record handover deadline</w:t>
      </w:r>
    </w:p>
    <w:p>
      <w:r>
        <w:t xml:space="preserve">Decide whether the proposed one-working-day response target is achievable with the support rota, including weekends. Until settled, existing human handling continues.</w:t>
      </w:r>
    </w:p>
    <w:tbl>
      <w:tblPr>
        <w:tblStyle w:val="SunholoTable"/>
        <w:tblW w:w="9298" w:type="dxa"/>
        <w:tblLayout w:type="fixed"/>
      </w:tblPr>
      <w:tblGrid>
        <w:gridCol w:w="2100"/>
        <w:gridCol w:w="7198"/>
      </w:tblGrid>
      <w:tr>
        <w:trPr>
          <w:cantSplit/>
          <w:tblHeader/>
        </w:trPr>
        <w:tc>
          <w:tcPr>
            <w:tcW w:w="2100" w:type="dxa"/>
          </w:tcPr>
          <w:p>
            <w:pPr>
              <w:jc w:val="center"/>
            </w:pPr>
            <w:r>
              <w:rPr>
                <w:b/>
              </w:rPr>
              <w:t xml:space="preserve">Field</w:t>
            </w:r>
          </w:p>
        </w:tc>
        <w:tc>
          <w:tcPr>
            <w:tcW w:w="7198" w:type="dxa"/>
          </w:tcPr>
          <w:p>
            <w:pPr>
              <w:jc w:val="center"/>
            </w:pPr>
            <w:r>
              <w:rPr>
                <w:b/>
              </w:rPr>
              <w:t xml:space="preserve">Detail</w:t>
            </w:r>
          </w:p>
        </w:tc>
      </w:tr>
      <w:tr>
        <w:trPr>
          <w:cantSplit/>
        </w:trPr>
        <w:tc>
          <w:tcPr>
            <w:tcW w:w="2100" w:type="dxa"/>
          </w:tcPr>
          <w:p>
            <w:r>
              <w:t xml:space="preserve">Axis</w:t>
            </w:r>
          </w:p>
        </w:tc>
        <w:tc>
          <w:tcPr>
            <w:tcW w:w="7198" w:type="dxa"/>
          </w:tcPr>
          <w:p>
            <w:r>
              <w:t xml:space="preserve">timing</w:t>
            </w:r>
          </w:p>
        </w:tc>
      </w:tr>
      <w:tr>
        <w:trPr>
          <w:cantSplit/>
        </w:trPr>
        <w:tc>
          <w:tcPr>
            <w:tcW w:w="2100" w:type="dxa"/>
          </w:tcPr>
          <w:p>
            <w:r>
              <w:t xml:space="preserve">Status</w:t>
            </w:r>
          </w:p>
        </w:tc>
        <w:tc>
          <w:tcPr>
            <w:tcW w:w="7198" w:type="dxa"/>
          </w:tcPr>
          <w:p>
            <w:r>
              <w:rPr>
                <w:b/>
              </w:rPr>
              <w:t xml:space="preserve">Open</w:t>
            </w:r>
          </w:p>
        </w:tc>
      </w:tr>
      <w:tr>
        <w:trPr>
          <w:cantSplit/>
        </w:trPr>
        <w:tc>
          <w:tcPr>
            <w:tcW w:w="2100" w:type="dxa"/>
          </w:tcPr>
          <w:p>
            <w:r>
              <w:t xml:space="preserve">Who decides</w:t>
            </w:r>
          </w:p>
        </w:tc>
        <w:tc>
          <w:tcPr>
            <w:tcW w:w="7198" w:type="dxa"/>
          </w:tcPr>
          <w:p>
            <w:r>
              <w:rPr>
                <w:b/>
              </w:rPr>
              <w:t xml:space="preserve">Not established in this record</w:t>
            </w:r>
          </w:p>
        </w:tc>
      </w:tr>
      <w:tr>
        <w:trPr>
          <w:cantSplit/>
        </w:trPr>
        <w:tc>
          <w:tcPr>
            <w:tcW w:w="2100" w:type="dxa"/>
          </w:tcPr>
          <w:p>
            <w:r>
              <w:t xml:space="preserve">Resolver</w:t>
            </w:r>
          </w:p>
        </w:tc>
        <w:tc>
          <w:tcPr>
            <w:tcW w:w="7198" w:type="dxa"/>
          </w:tcPr>
          <w:p>
            <w:r>
              <w:t xml:space="preserve">Jon Bell (fictional) — Operations owner</w:t>
            </w:r>
          </w:p>
        </w:tc>
      </w:tr>
    </w:tbl>
    <w:p>
      <w:r>
        <w:rPr>
          <w:b/>
        </w:rPr>
        <w:t xml:space="preserve">Decided today by:</w:t>
      </w:r>
      <w:r>
        <w:t xml:space="preserve"> Maya Reed (fictional) — Support lead</w:t>
      </w:r>
    </w:p>
    <w:p>
      <w:r>
        <w:rPr>
          <w:b/>
        </w:rPr>
        <w:t xml:space="preserve">If unavailable:</w:t>
      </w:r>
      <w:r>
        <w:t xml:space="preserve"> Maya Reed (fictional) — Support lead</w:t>
      </w:r>
    </w:p>
    <w:p>
      <w:r>
        <w:rPr>
          <w:b/>
        </w:rPr>
        <w:t xml:space="preserve">Settle by Before the fictional pilot review.</w:t>
      </w:r>
      <w:r>
        <w:t xml:space="preserve"> If it lapses, work stops.</w:t>
      </w:r>
    </w:p>
    <w:p>
      <w:r>
        <w:t xml:space="preserve">An unanswered escalation could sit in a queue without anyone expecting to act.</w:t>
      </w:r>
    </w:p>
    <w:p>
      <w:r>
        <w:rPr>
          <w:b/>
        </w:rPr>
        <w:t xml:space="preserve">Recorded each time:</w:t>
      </w:r>
    </w:p>
    <w:p>
      <w:pPr>
        <w:pStyle w:val="ListParagraph"/>
        <w:numPr>
          <w:ilvl w:val="0"/>
          <w:numId w:val="1"/>
        </w:numPr>
      </w:pPr>
      <w:r>
        <w:t xml:space="preserve">Decision ID</w:t>
      </w:r>
    </w:p>
    <w:p>
      <w:pPr>
        <w:pStyle w:val="ListParagraph"/>
        <w:numPr>
          <w:ilvl w:val="0"/>
          <w:numId w:val="1"/>
        </w:numPr>
      </w:pPr>
      <w:r>
        <w:t xml:space="preserve">Source record reference</w:t>
      </w:r>
    </w:p>
    <w:p>
      <w:pPr>
        <w:pStyle w:val="ListParagraph"/>
        <w:numPr>
          <w:ilvl w:val="0"/>
          <w:numId w:val="1"/>
        </w:numPr>
      </w:pPr>
      <w:r>
        <w:t xml:space="preserve">Human outcome and reason</w:t>
      </w:r>
    </w:p>
    <w:p>
      <w:r>
        <w:rPr>
          <w:b/>
        </w:rPr>
        <w:t xml:space="preserve">Accountable for the outcome:</w:t>
      </w:r>
      <w:r>
        <w:t xml:space="preserve"> Jon Bell (fictional) — Operations owner</w:t>
      </w:r>
    </w:p>
    <w:p>
      <w:r>
        <w:rPr>
          <w:i/>
        </w:rPr>
        <w:t xml:space="preserve">Where this came from:</w:t>
      </w:r>
    </w:p>
    <w:p>
      <w:pPr>
        <w:pStyle w:val="ListParagraph"/>
        <w:numPr>
          <w:ilvl w:val="0"/>
          <w:numId w:val="1"/>
        </w:numPr>
      </w:pPr>
      <w:r>
        <w:t xml:space="preserve">Invented pilot planning notes — D-004</w:t>
      </w:r>
    </w:p>
    <w:p>
      <w:r>
        <w:rPr>
          <w:i/>
        </w:rPr>
        <w:t xml:space="preserve">Note: Fictional demonstration. Settled means agreed within this invented scenario, not approval by a real client.</w:t>
      </w:r>
    </w:p>
    <w:p>
      <w:pPr>
        <w:pStyle w:val="Heading4"/>
      </w:pPr>
      <w:r>
        <w:t xml:space="preserve">D-005 · Approve evidence for a shadow trial</w:t>
      </w:r>
    </w:p>
    <w:p>
      <w:r>
        <w:t xml:space="preserve">Agree a representative test set and review criteria before progressing beyond held. Evaluate factual support, forbidden actions, correct routing and human corrections separately.</w:t>
      </w:r>
    </w:p>
    <w:tbl>
      <w:tblPr>
        <w:tblStyle w:val="SunholoTable"/>
        <w:tblW w:w="9298" w:type="dxa"/>
        <w:tblLayout w:type="fixed"/>
      </w:tblPr>
      <w:tblGrid>
        <w:gridCol w:w="2100"/>
        <w:gridCol w:w="7198"/>
      </w:tblGrid>
      <w:tr>
        <w:trPr>
          <w:cantSplit/>
          <w:tblHeader/>
        </w:trPr>
        <w:tc>
          <w:tcPr>
            <w:tcW w:w="2100" w:type="dxa"/>
          </w:tcPr>
          <w:p>
            <w:pPr>
              <w:jc w:val="center"/>
            </w:pPr>
            <w:r>
              <w:rPr>
                <w:b/>
              </w:rPr>
              <w:t xml:space="preserve">Field</w:t>
            </w:r>
          </w:p>
        </w:tc>
        <w:tc>
          <w:tcPr>
            <w:tcW w:w="7198" w:type="dxa"/>
          </w:tcPr>
          <w:p>
            <w:pPr>
              <w:jc w:val="center"/>
            </w:pPr>
            <w:r>
              <w:rPr>
                <w:b/>
              </w:rPr>
              <w:t xml:space="preserve">Detail</w:t>
            </w:r>
          </w:p>
        </w:tc>
      </w:tr>
      <w:tr>
        <w:trPr>
          <w:cantSplit/>
        </w:trPr>
        <w:tc>
          <w:tcPr>
            <w:tcW w:w="2100" w:type="dxa"/>
          </w:tcPr>
          <w:p>
            <w:r>
              <w:t xml:space="preserve">Axis</w:t>
            </w:r>
          </w:p>
        </w:tc>
        <w:tc>
          <w:tcPr>
            <w:tcW w:w="7198" w:type="dxa"/>
          </w:tcPr>
          <w:p>
            <w:r>
              <w:t xml:space="preserve">judgement</w:t>
            </w:r>
          </w:p>
        </w:tc>
      </w:tr>
      <w:tr>
        <w:trPr>
          <w:cantSplit/>
        </w:trPr>
        <w:tc>
          <w:tcPr>
            <w:tcW w:w="2100" w:type="dxa"/>
          </w:tcPr>
          <w:p>
            <w:r>
              <w:t xml:space="preserve">Status</w:t>
            </w:r>
          </w:p>
        </w:tc>
        <w:tc>
          <w:tcPr>
            <w:tcW w:w="7198" w:type="dxa"/>
          </w:tcPr>
          <w:p>
            <w:r>
              <w:rPr>
                <w:b/>
              </w:rPr>
              <w:t xml:space="preserve">Open</w:t>
            </w:r>
          </w:p>
        </w:tc>
      </w:tr>
      <w:tr>
        <w:trPr>
          <w:cantSplit/>
        </w:trPr>
        <w:tc>
          <w:tcPr>
            <w:tcW w:w="2100" w:type="dxa"/>
          </w:tcPr>
          <w:p>
            <w:r>
              <w:t xml:space="preserve">Who decides</w:t>
            </w:r>
          </w:p>
        </w:tc>
        <w:tc>
          <w:tcPr>
            <w:tcW w:w="7198" w:type="dxa"/>
          </w:tcPr>
          <w:p>
            <w:r>
              <w:rPr>
                <w:b/>
              </w:rPr>
              <w:t xml:space="preserve">Not established in this record</w:t>
            </w:r>
          </w:p>
        </w:tc>
      </w:tr>
      <w:tr>
        <w:trPr>
          <w:cantSplit/>
        </w:trPr>
        <w:tc>
          <w:tcPr>
            <w:tcW w:w="2100" w:type="dxa"/>
          </w:tcPr>
          <w:p>
            <w:r>
              <w:t xml:space="preserve">Resolver</w:t>
            </w:r>
          </w:p>
        </w:tc>
        <w:tc>
          <w:tcPr>
            <w:tcW w:w="7198" w:type="dxa"/>
          </w:tcPr>
          <w:p>
            <w:r>
              <w:t xml:space="preserve">Maya Reed (fictional) — Support lead</w:t>
            </w:r>
          </w:p>
        </w:tc>
      </w:tr>
    </w:tbl>
    <w:p>
      <w:r>
        <w:rPr>
          <w:b/>
        </w:rPr>
        <w:t xml:space="preserve">Decided today by:</w:t>
      </w:r>
      <w:r>
        <w:t xml:space="preserve"> Maya Reed (fictional) — Support lead</w:t>
      </w:r>
    </w:p>
    <w:p>
      <w:r>
        <w:rPr>
          <w:b/>
        </w:rPr>
        <w:t xml:space="preserve">If unavailable:</w:t>
      </w:r>
      <w:r>
        <w:t xml:space="preserve"> Jon Bell (fictional) — Operations owner</w:t>
      </w:r>
    </w:p>
    <w:p>
      <w:r>
        <w:rPr>
          <w:b/>
        </w:rPr>
        <w:t xml:space="preserve">Settle by Before the fictional pilot review.</w:t>
      </w:r>
      <w:r>
        <w:t xml:space="preserve"> If it lapses, work stops.</w:t>
      </w:r>
    </w:p>
    <w:p>
      <w:r>
        <w:t xml:space="preserve">An overall accuracy score could conceal the exceptions that matter most.</w:t>
      </w:r>
    </w:p>
    <w:p>
      <w:r>
        <w:rPr>
          <w:b/>
        </w:rPr>
        <w:t xml:space="preserve">Recorded each time:</w:t>
      </w:r>
    </w:p>
    <w:p>
      <w:pPr>
        <w:pStyle w:val="ListParagraph"/>
        <w:numPr>
          <w:ilvl w:val="0"/>
          <w:numId w:val="1"/>
        </w:numPr>
      </w:pPr>
      <w:r>
        <w:t xml:space="preserve">Decision ID</w:t>
      </w:r>
    </w:p>
    <w:p>
      <w:pPr>
        <w:pStyle w:val="ListParagraph"/>
        <w:numPr>
          <w:ilvl w:val="0"/>
          <w:numId w:val="1"/>
        </w:numPr>
      </w:pPr>
      <w:r>
        <w:t xml:space="preserve">Source record reference</w:t>
      </w:r>
    </w:p>
    <w:p>
      <w:pPr>
        <w:pStyle w:val="ListParagraph"/>
        <w:numPr>
          <w:ilvl w:val="0"/>
          <w:numId w:val="1"/>
        </w:numPr>
      </w:pPr>
      <w:r>
        <w:t xml:space="preserve">Human outcome and reason</w:t>
      </w:r>
    </w:p>
    <w:p>
      <w:r>
        <w:rPr>
          <w:b/>
        </w:rPr>
        <w:t xml:space="preserve">Accountable for the outcome:</w:t>
      </w:r>
      <w:r>
        <w:t xml:space="preserve"> Jon Bell (fictional) — Operations owner</w:t>
      </w:r>
    </w:p>
    <w:p>
      <w:r>
        <w:rPr>
          <w:i/>
        </w:rPr>
        <w:t xml:space="preserve">Where this came from:</w:t>
      </w:r>
    </w:p>
    <w:p>
      <w:pPr>
        <w:pStyle w:val="ListParagraph"/>
        <w:numPr>
          <w:ilvl w:val="0"/>
          <w:numId w:val="1"/>
        </w:numPr>
      </w:pPr>
      <w:r>
        <w:t xml:space="preserve">Invented pilot planning notes — D-005</w:t>
      </w:r>
    </w:p>
    <w:p>
      <w:r>
        <w:rPr>
          <w:i/>
        </w:rPr>
        <w:t xml:space="preserve">Note: Fictional demonstration. Settled means agreed within this invented scenario, not approval by a real client.</w:t>
      </w:r>
    </w:p>
    <w:p>
      <w:pPr>
        <w:pStyle w:val="Heading4"/>
      </w:pPr>
      <w:r>
        <w:t xml:space="preserve">D-006 · Make decisions reconstructable</w:t>
      </w:r>
    </w:p>
    <w:p>
      <w:r>
        <w:t xml:space="preserve">Approve a log linking the source snapshot, proposed reply, human decision, corrections and handover outcome. Confirm access and retention before capturing real customer data.</w:t>
      </w:r>
    </w:p>
    <w:tbl>
      <w:tblPr>
        <w:tblStyle w:val="SunholoTable"/>
        <w:tblW w:w="9298" w:type="dxa"/>
        <w:tblLayout w:type="fixed"/>
      </w:tblPr>
      <w:tblGrid>
        <w:gridCol w:w="2100"/>
        <w:gridCol w:w="7198"/>
      </w:tblGrid>
      <w:tr>
        <w:trPr>
          <w:cantSplit/>
          <w:tblHeader/>
        </w:trPr>
        <w:tc>
          <w:tcPr>
            <w:tcW w:w="2100" w:type="dxa"/>
          </w:tcPr>
          <w:p>
            <w:pPr>
              <w:jc w:val="center"/>
            </w:pPr>
            <w:r>
              <w:rPr>
                <w:b/>
              </w:rPr>
              <w:t xml:space="preserve">Field</w:t>
            </w:r>
          </w:p>
        </w:tc>
        <w:tc>
          <w:tcPr>
            <w:tcW w:w="7198" w:type="dxa"/>
          </w:tcPr>
          <w:p>
            <w:pPr>
              <w:jc w:val="center"/>
            </w:pPr>
            <w:r>
              <w:rPr>
                <w:b/>
              </w:rPr>
              <w:t xml:space="preserve">Detail</w:t>
            </w:r>
          </w:p>
        </w:tc>
      </w:tr>
      <w:tr>
        <w:trPr>
          <w:cantSplit/>
        </w:trPr>
        <w:tc>
          <w:tcPr>
            <w:tcW w:w="2100" w:type="dxa"/>
          </w:tcPr>
          <w:p>
            <w:r>
              <w:t xml:space="preserve">Axis</w:t>
            </w:r>
          </w:p>
        </w:tc>
        <w:tc>
          <w:tcPr>
            <w:tcW w:w="7198" w:type="dxa"/>
          </w:tcPr>
          <w:p>
            <w:r>
              <w:t xml:space="preserve">evidence</w:t>
            </w:r>
          </w:p>
        </w:tc>
      </w:tr>
      <w:tr>
        <w:trPr>
          <w:cantSplit/>
        </w:trPr>
        <w:tc>
          <w:tcPr>
            <w:tcW w:w="2100" w:type="dxa"/>
          </w:tcPr>
          <w:p>
            <w:r>
              <w:t xml:space="preserve">Status</w:t>
            </w:r>
          </w:p>
        </w:tc>
        <w:tc>
          <w:tcPr>
            <w:tcW w:w="7198" w:type="dxa"/>
          </w:tcPr>
          <w:p>
            <w:r>
              <w:rPr>
                <w:b/>
              </w:rPr>
              <w:t xml:space="preserve">Open</w:t>
            </w:r>
          </w:p>
        </w:tc>
      </w:tr>
      <w:tr>
        <w:trPr>
          <w:cantSplit/>
        </w:trPr>
        <w:tc>
          <w:tcPr>
            <w:tcW w:w="2100" w:type="dxa"/>
          </w:tcPr>
          <w:p>
            <w:r>
              <w:t xml:space="preserve">Who decides</w:t>
            </w:r>
          </w:p>
        </w:tc>
        <w:tc>
          <w:tcPr>
            <w:tcW w:w="7198" w:type="dxa"/>
          </w:tcPr>
          <w:p>
            <w:r>
              <w:rPr>
                <w:b/>
              </w:rPr>
              <w:t xml:space="preserve">Not established in this record</w:t>
            </w:r>
          </w:p>
        </w:tc>
      </w:tr>
      <w:tr>
        <w:trPr>
          <w:cantSplit/>
        </w:trPr>
        <w:tc>
          <w:tcPr>
            <w:tcW w:w="2100" w:type="dxa"/>
          </w:tcPr>
          <w:p>
            <w:r>
              <w:t xml:space="preserve">Resolver</w:t>
            </w:r>
          </w:p>
        </w:tc>
        <w:tc>
          <w:tcPr>
            <w:tcW w:w="7198" w:type="dxa"/>
          </w:tcPr>
          <w:p>
            <w:r>
              <w:t xml:space="preserve">Jon Bell (fictional) — Operations owner</w:t>
            </w:r>
          </w:p>
        </w:tc>
      </w:tr>
    </w:tbl>
    <w:p>
      <w:r>
        <w:rPr>
          <w:b/>
        </w:rPr>
        <w:t xml:space="preserve">Decided today by:</w:t>
      </w:r>
      <w:r>
        <w:t xml:space="preserve"> Maya Reed (fictional) — Support lead</w:t>
      </w:r>
    </w:p>
    <w:p>
      <w:r>
        <w:rPr>
          <w:b/>
        </w:rPr>
        <w:t xml:space="preserve">If unavailable:</w:t>
      </w:r>
      <w:r>
        <w:t xml:space="preserve"> Maya Reed (fictional) — Support lead</w:t>
      </w:r>
    </w:p>
    <w:p>
      <w:r>
        <w:rPr>
          <w:b/>
        </w:rPr>
        <w:t xml:space="preserve">Settle by Before the fictional pilot review.</w:t>
      </w:r>
      <w:r>
        <w:t xml:space="preserve"> If it lapses, work stops.</w:t>
      </w:r>
    </w:p>
    <w:p>
      <w:r>
        <w:t xml:space="preserve">The team could be unable to explain a reply or measure why it was corrected.</w:t>
      </w:r>
    </w:p>
    <w:p>
      <w:r>
        <w:rPr>
          <w:b/>
        </w:rPr>
        <w:t xml:space="preserve">Recorded each time:</w:t>
      </w:r>
    </w:p>
    <w:p>
      <w:pPr>
        <w:pStyle w:val="ListParagraph"/>
        <w:numPr>
          <w:ilvl w:val="0"/>
          <w:numId w:val="1"/>
        </w:numPr>
      </w:pPr>
      <w:r>
        <w:t xml:space="preserve">Decision ID</w:t>
      </w:r>
    </w:p>
    <w:p>
      <w:pPr>
        <w:pStyle w:val="ListParagraph"/>
        <w:numPr>
          <w:ilvl w:val="0"/>
          <w:numId w:val="1"/>
        </w:numPr>
      </w:pPr>
      <w:r>
        <w:t xml:space="preserve">Source record reference</w:t>
      </w:r>
    </w:p>
    <w:p>
      <w:pPr>
        <w:pStyle w:val="ListParagraph"/>
        <w:numPr>
          <w:ilvl w:val="0"/>
          <w:numId w:val="1"/>
        </w:numPr>
      </w:pPr>
      <w:r>
        <w:t xml:space="preserve">Human outcome and reason</w:t>
      </w:r>
    </w:p>
    <w:p>
      <w:r>
        <w:rPr>
          <w:b/>
        </w:rPr>
        <w:t xml:space="preserve">Accountable for the outcome:</w:t>
      </w:r>
      <w:r>
        <w:t xml:space="preserve"> Jon Bell (fictional) — Operations owner</w:t>
      </w:r>
    </w:p>
    <w:p>
      <w:r>
        <w:rPr>
          <w:i/>
        </w:rPr>
        <w:t xml:space="preserve">Where this came from:</w:t>
      </w:r>
    </w:p>
    <w:p>
      <w:pPr>
        <w:pStyle w:val="ListParagraph"/>
        <w:numPr>
          <w:ilvl w:val="0"/>
          <w:numId w:val="1"/>
        </w:numPr>
      </w:pPr>
      <w:r>
        <w:t xml:space="preserve">Invented pilot planning notes — D-006</w:t>
      </w:r>
    </w:p>
    <w:p>
      <w:r>
        <w:rPr>
          <w:i/>
        </w:rPr>
        <w:t xml:space="preserve">Note: Fictional demonstration. Settled means agreed within this invented scenario, not approval by a real client.</w:t>
      </w:r>
    </w:p>
    <w:p>
      <w:pPr>
        <w:pStyle w:val="Heading2"/>
      </w:pPr>
      <w:r>
        <w:t xml:space="preserve">What was read</w:t>
      </w:r>
    </w:p>
    <w:p>
      <w:r>
        <w:t xml:space="preserve">Each decision cites the material that prompted it. A citation supports traceability; it does not by itself establish that the proposed interpretation, owner or deadline has been agreed.</w:t>
      </w:r>
    </w:p>
    <w:tbl>
      <w:tblPr>
        <w:tblStyle w:val="SunholoTable"/>
        <w:tblW w:w="9298" w:type="dxa"/>
        <w:tblLayout w:type="fixed"/>
      </w:tblPr>
      <w:tblGrid>
        <w:gridCol w:w="1100"/>
        <w:gridCol w:w="3800"/>
        <w:gridCol w:w="1500"/>
        <w:gridCol w:w="2898"/>
      </w:tblGrid>
      <w:tr>
        <w:trPr>
          <w:cantSplit/>
          <w:tblHeader/>
        </w:trPr>
        <w:tc>
          <w:tcPr>
            <w:tcW w:w="1100" w:type="dxa"/>
          </w:tcPr>
          <w:p>
            <w:pPr>
              <w:jc w:val="center"/>
            </w:pPr>
            <w:r>
              <w:rPr>
                <w:b/>
              </w:rPr>
              <w:t xml:space="preserve">Ref</w:t>
            </w:r>
          </w:p>
        </w:tc>
        <w:tc>
          <w:tcPr>
            <w:tcW w:w="3800" w:type="dxa"/>
          </w:tcPr>
          <w:p>
            <w:pPr>
              <w:jc w:val="center"/>
            </w:pPr>
            <w:r>
              <w:rPr>
                <w:b/>
              </w:rPr>
              <w:t xml:space="preserve">Source</w:t>
            </w:r>
          </w:p>
        </w:tc>
        <w:tc>
          <w:tcPr>
            <w:tcW w:w="1500" w:type="dxa"/>
          </w:tcPr>
          <w:p>
            <w:pPr>
              <w:jc w:val="center"/>
            </w:pPr>
            <w:r>
              <w:rPr>
                <w:b/>
              </w:rPr>
              <w:t xml:space="preserve">Kind</w:t>
            </w:r>
          </w:p>
        </w:tc>
        <w:tc>
          <w:tcPr>
            <w:tcW w:w="2898" w:type="dxa"/>
          </w:tcPr>
          <w:p>
            <w:pPr>
              <w:jc w:val="center"/>
            </w:pPr>
            <w:r>
              <w:rPr>
                <w:b/>
              </w:rPr>
              <w:t xml:space="preserve">Where</w:t>
            </w:r>
          </w:p>
        </w:tc>
      </w:tr>
      <w:tr>
        <w:trPr>
          <w:cantSplit/>
        </w:trPr>
        <w:tc>
          <w:tcPr>
            <w:tcW w:w="1100" w:type="dxa"/>
          </w:tcPr>
          <w:p>
            <w:r>
              <w:t xml:space="preserve">S-001</w:t>
            </w:r>
          </w:p>
        </w:tc>
        <w:tc>
          <w:tcPr>
            <w:tcW w:w="3800" w:type="dxa"/>
          </w:tcPr>
          <w:p>
            <w:r>
              <w:t xml:space="preserve">Invented support runbook</w:t>
            </w:r>
          </w:p>
        </w:tc>
        <w:tc>
          <w:tcPr>
            <w:tcW w:w="1500" w:type="dxa"/>
          </w:tcPr>
          <w:p>
            <w:r>
              <w:t xml:space="preserve">runbook</w:t>
            </w:r>
          </w:p>
        </w:tc>
        <w:tc>
          <w:tcPr>
            <w:tcW w:w="2898" w:type="dxa"/>
          </w:tcPr>
          <w:p>
            <w:r>
              <w:t xml:space="preserve">fictional-source-material.md, S-001</w:t>
            </w:r>
          </w:p>
        </w:tc>
      </w:tr>
      <w:tr>
        <w:trPr>
          <w:cantSplit/>
        </w:trPr>
        <w:tc>
          <w:tcPr>
            <w:tcW w:w="1100" w:type="dxa"/>
          </w:tcPr>
          <w:p>
            <w:r>
              <w:t xml:space="preserve">S-002</w:t>
            </w:r>
          </w:p>
        </w:tc>
        <w:tc>
          <w:tcPr>
            <w:tcW w:w="3800" w:type="dxa"/>
          </w:tcPr>
          <w:p>
            <w:r>
              <w:t xml:space="preserve">Invented pilot planning notes</w:t>
            </w:r>
          </w:p>
        </w:tc>
        <w:tc>
          <w:tcPr>
            <w:tcW w:w="1500" w:type="dxa"/>
          </w:tcPr>
          <w:p>
            <w:r>
              <w:t xml:space="preserve">workshop</w:t>
            </w:r>
          </w:p>
        </w:tc>
        <w:tc>
          <w:tcPr>
            <w:tcW w:w="2898" w:type="dxa"/>
          </w:tcPr>
          <w:p>
            <w:r>
              <w:t xml:space="preserve">fictional-source-material.md, S-002</w:t>
            </w:r>
          </w:p>
        </w:tc>
      </w:tr>
    </w:tbl>
    <w:p>
      <w:pPr>
        <w:pStyle w:val="Heading2"/>
      </w:pPr>
      <w:r>
        <w:t xml:space="preserve">Acceptance</w:t>
      </w:r>
    </w:p>
    <w:p>
      <w:pPr>
        <w:keepNext/>
      </w:pPr>
      <w:r>
        <w:t xml:space="preserve">This envelope is accepted when the people named below confirm in writing that it reflects how the work is actually done — including the decisions recorded as open, and who is named to settle them.</w:t>
      </w:r>
    </w:p>
    <w:tbl>
      <w:tblPr>
        <w:tblStyle w:val="SunholoTable"/>
        <w:tblW w:w="9298" w:type="dxa"/>
        <w:tblLayout w:type="fixed"/>
      </w:tblPr>
      <w:tblGrid>
        <w:gridCol w:w="3098"/>
        <w:gridCol w:w="2200"/>
        <w:gridCol w:w="2400"/>
        <w:gridCol w:w="1600"/>
      </w:tblGrid>
      <w:tr>
        <w:trPr>
          <w:cantSplit/>
          <w:tblHeader/>
        </w:trPr>
        <w:tc>
          <w:tcPr>
            <w:tcW w:w="3098" w:type="dxa"/>
          </w:tcPr>
          <w:p>
            <w:pPr>
              <w:jc w:val="center"/>
            </w:pPr>
            <w:r>
              <w:rPr>
                <w:b/>
              </w:rPr>
              <w:t xml:space="preserve"/>
            </w:r>
          </w:p>
        </w:tc>
        <w:tc>
          <w:tcPr>
            <w:tcW w:w="2200" w:type="dxa"/>
          </w:tcPr>
          <w:p>
            <w:pPr>
              <w:jc w:val="center"/>
            </w:pPr>
            <w:r>
              <w:rPr>
                <w:b/>
              </w:rPr>
              <w:t xml:space="preserve">Name</w:t>
            </w:r>
          </w:p>
        </w:tc>
        <w:tc>
          <w:tcPr>
            <w:tcW w:w="2400" w:type="dxa"/>
          </w:tcPr>
          <w:p>
            <w:pPr>
              <w:jc w:val="center"/>
            </w:pPr>
            <w:r>
              <w:rPr>
                <w:b/>
              </w:rPr>
              <w:t xml:space="preserve">Signature</w:t>
            </w:r>
          </w:p>
        </w:tc>
        <w:tc>
          <w:tcPr>
            <w:tcW w:w="1600" w:type="dxa"/>
          </w:tcPr>
          <w:p>
            <w:pPr>
              <w:jc w:val="center"/>
            </w:pPr>
            <w:r>
              <w:rPr>
                <w:b/>
              </w:rPr>
              <w:t xml:space="preserve">Date</w:t>
            </w:r>
          </w:p>
        </w:tc>
      </w:tr>
      <w:tr>
        <w:trPr>
          <w:cantSplit/>
        </w:trPr>
        <w:tc>
          <w:tcPr>
            <w:tcW w:w="3098" w:type="dxa"/>
          </w:tcPr>
          <w:p>
            <w:r>
              <w:t xml:space="preserve">Support lead</w:t>
            </w:r>
          </w:p>
        </w:tc>
        <w:tc>
          <w:tcPr>
            <w:tcW w:w="2200" w:type="dxa"/>
          </w:tcPr>
          <w:p>
            <w:r>
              <w:t xml:space="preserve">Maya Reed (fictional)</w:t>
            </w:r>
          </w:p>
        </w:tc>
        <w:tc>
          <w:tcPr>
            <w:tcW w:w="2400" w:type="dxa"/>
          </w:tcPr>
          <w:p>
            <w:r>
              <w:t xml:space="preserve"/>
            </w:r>
          </w:p>
        </w:tc>
        <w:tc>
          <w:tcPr>
            <w:tcW w:w="1600" w:type="dxa"/>
          </w:tcPr>
          <w:p>
            <w:r>
              <w:t xml:space="preserve"/>
            </w:r>
          </w:p>
        </w:tc>
      </w:tr>
      <w:tr>
        <w:trPr>
          <w:cantSplit/>
        </w:trPr>
        <w:tc>
          <w:tcPr>
            <w:tcW w:w="3098" w:type="dxa"/>
          </w:tcPr>
          <w:p>
            <w:r>
              <w:t xml:space="preserve">Operations owner</w:t>
            </w:r>
          </w:p>
        </w:tc>
        <w:tc>
          <w:tcPr>
            <w:tcW w:w="2200" w:type="dxa"/>
          </w:tcPr>
          <w:p>
            <w:r>
              <w:t xml:space="preserve">Jon Bell (fictional)</w:t>
            </w:r>
          </w:p>
        </w:tc>
        <w:tc>
          <w:tcPr>
            <w:tcW w:w="2400" w:type="dxa"/>
          </w:tcPr>
          <w:p>
            <w:r>
              <w:t xml:space="preserve"/>
            </w:r>
          </w:p>
        </w:tc>
        <w:tc>
          <w:tcPr>
            <w:tcW w:w="1600" w:type="dxa"/>
          </w:tcPr>
          <w:p>
            <w:r>
              <w:t xml:space="preserve"/>
            </w:r>
          </w:p>
        </w:tc>
      </w:tr>
      <w:tr>
        <w:trPr>
          <w:cantSplit/>
        </w:trPr>
        <w:tc>
          <w:tcPr>
            <w:tcW w:w="3098" w:type="dxa"/>
          </w:tcPr>
          <w:p>
            <w:r>
              <w:t xml:space="preserve">Engineering lead</w:t>
            </w:r>
          </w:p>
        </w:tc>
        <w:tc>
          <w:tcPr>
            <w:tcW w:w="2200" w:type="dxa"/>
          </w:tcPr>
          <w:p>
            <w:r>
              <w:t xml:space="preserve">Alex Chen (fictional)</w:t>
            </w:r>
          </w:p>
        </w:tc>
        <w:tc>
          <w:tcPr>
            <w:tcW w:w="2400" w:type="dxa"/>
          </w:tcPr>
          <w:p>
            <w:r>
              <w:t xml:space="preserve"/>
            </w:r>
          </w:p>
        </w:tc>
        <w:tc>
          <w:tcPr>
            <w:tcW w:w="1600" w:type="dxa"/>
          </w:tcPr>
          <w:p>
            <w:r>
              <w:t xml:space="preserve"/>
            </w:r>
          </w:p>
        </w:tc>
      </w:tr>
    </w:tbl>
    <w:p>
      <w:r>
        <w:t xml:space="preserve">Confirming does not settle the open decisions. It confirms that they are the right ones, assigned to the right people.</w:t>
      </w:r>
    </w:p>
    <w:sectPr>
      <w:headerReference w:type="default" r:id="rHeader"/>
      <w:headerReference w:type="first" r:id="rFirst"/>
      <w:footerReference w:type="default" r:id="rFooter"/>
      <w:footerReference w:type="first" r:id="rFooter"/>
      <w:pgSz w:w="11906" w:h="16838"/>
      <w:pgMar w:top="2100" w:right="1304" w:bottom="1300" w:left="1304" w:header="620" w:footer="640"/>
      <w:titlePg/>
    </w:sectPr>
  </w:body>
</w:document>
</file>

<file path=word/footer.xml><?xml version="1.0" encoding="utf-8"?>
<w:ftr xmlns:w="http://schemas.openxmlformats.org/wordprocessingml/2006/main">
  <w:p>
    <w:pPr>
      <w:pBdr>
        <w:top w:val="single" w:sz="4" w:space="10" w:color="DCE2E7"/>
      </w:pBdr>
      <w:tabs>
        <w:tab w:val="right" w:pos="9298"/>
      </w:tabs>
      <w:spacing w:before="120" w:after="0"/>
    </w:pPr>
    <w:r>
      <w:rPr>
        <w:sz w:val="16"/>
        <w:color w:val="6A7884"/>
      </w:rPr>
      <w:t>Holosun ApS · CVR 44324687 · sunholo.com</w:t>
      <w:tab/>
    </w:r>
    <w:fldSimple w:instr="PAGE">
      <w:r>
        <w:rPr>
          <w:sz w:val="16"/>
          <w:color w:val="6A7884"/>
        </w:rPr>
        <w:t>1</w:t>
      </w:r>
    </w:fldSimple>
  </w:p>
</w:ftr>
</file>

<file path=word/header-first.xml><?xml version="1.0" encoding="utf-8"?>
<w:hdr xmlns:w="http://schemas.openxmlformats.org/wordprocessingml/2006/main" xmlns:r="http://schemas.openxmlformats.org/officeDocument/2006/relationships">
  <w:p>
    <w:pPr>
      <w:spacing w:after="70"/>
      <w:tabs>
        <w:tab w:val="right" w:pos="9298"/>
      </w:tabs>
    </w:pPr>
    <w:r>
      <w:drawing>
        <wp:inline xmlns:wp="http://schemas.openxmlformats.org/drawingml/2006/wordprocessingDrawing" distT="0" distB="0" distL="0" distR="0">
          <wp:extent cx="640000" cy="640000"/>
          <wp:docPr id="1" name="Brand logo" descr="Holosun ApS logo"/>
          <a:graphic xmlns:a="http://schemas.openxmlformats.org/drawingml/2006/main">
            <a:graphicData uri="http://schemas.openxmlformats.org/drawingml/2006/picture">
              <pic:pic xmlns:pic="http://schemas.openxmlformats.org/drawingml/2006/picture">
                <pic:nvPicPr>
                  <pic:cNvPr id="0" name="brand.png"/>
                  <pic:cNvPicPr/>
                </pic:nvPicPr>
                <pic:blipFill>
                  <a:blip r:embed="rLogo"/>
                  <a:stretch>
                    <a:fillRect/>
                  </a:stretch>
                </pic:blipFill>
                <pic:spPr>
                  <a:xfrm>
                    <a:off x="0" y="0"/>
                    <a:ext cx="640000" cy="640000"/>
                  </a:xfrm>
                  <a:prstGeom prst="rect">
                    <a:avLst/>
                  </a:prstGeom>
                </pic:spPr>
              </pic:pic>
            </a:graphicData>
          </a:graphic>
        </wp:inline>
      </w:drawing>
    </w:r>
    <w:r>
      <w:rPr>
        <w:rFonts w:ascii="Montserrat" w:hAnsi="Montserrat"/>
        <w:b/>
        <w:color w:val="314352"/>
        <w:sz w:val="48"/>
        <w:position w:val="30"/>
      </w:rPr>
      <w:t xml:space="preserve"> Holosun ApS</w:t>
    </w:r>
    <w:r>
      <w:rPr>
        <w:sz w:val="17"/>
        <w:color w:val="6A7884"/>
        <w:position w:val="30"/>
      </w:rPr>
      <w:tab/>
      <w:t>DECISION BUDGET</w:t>
    </w:r>
  </w:p>
  <w:p>
    <w:pPr>
      <w:spacing w:after="0"/>
      <w:jc w:val="left"/>
    </w:pPr>
    <w:r>
      <w:rPr>
        <w:sz w:val="17"/>
        <w:color w:val="6A7884"/>
      </w:rPr>
      <w:t>Technology · Engineering · Delivery</w:t>
    </w:r>
  </w:p>
</w:hdr>
</file>

<file path=word/header.xml><?xml version="1.0" encoding="utf-8"?>
<w:hdr xmlns:w="http://schemas.openxmlformats.org/wordprocessingml/2006/main" xmlns:r="http://schemas.openxmlformats.org/officeDocument/2006/relationships">
  <w:p>
    <w:pPr>
      <w:spacing w:after="70"/>
      <w:tabs>
        <w:tab w:val="right" w:pos="9298"/>
      </w:tabs>
    </w:pPr>
    <w:r>
      <w:drawing>
        <wp:inline xmlns:wp="http://schemas.openxmlformats.org/drawingml/2006/wordprocessingDrawing" distT="0" distB="0" distL="0" distR="0">
          <wp:extent cx="300000" cy="300000"/>
          <wp:docPr id="1" name="Brand logo" descr="Holosun ApS logo"/>
          <a:graphic xmlns:a="http://schemas.openxmlformats.org/drawingml/2006/main">
            <a:graphicData uri="http://schemas.openxmlformats.org/drawingml/2006/picture">
              <pic:pic xmlns:pic="http://schemas.openxmlformats.org/drawingml/2006/picture">
                <pic:nvPicPr>
                  <pic:cNvPr id="0" name="brand.png"/>
                  <pic:cNvPicPr/>
                </pic:nvPicPr>
                <pic:blipFill>
                  <a:blip r:embed="rLogo"/>
                  <a:stretch>
                    <a:fillRect/>
                  </a:stretch>
                </pic:blipFill>
                <pic:spPr>
                  <a:xfrm>
                    <a:off x="0" y="0"/>
                    <a:ext cx="300000" cy="300000"/>
                  </a:xfrm>
                  <a:prstGeom prst="rect">
                    <a:avLst/>
                  </a:prstGeom>
                </pic:spPr>
              </pic:pic>
            </a:graphicData>
          </a:graphic>
        </wp:inline>
      </w:drawing>
    </w:r>
    <w:r>
      <w:rPr>
        <w:rFonts w:ascii="Montserrat" w:hAnsi="Montserrat"/>
        <w:b/>
        <w:color w:val="314352"/>
        <w:sz w:val="25"/>
        <w:position w:val="14"/>
      </w:rPr>
      <w:t xml:space="preserve"> Holosun ApS</w:t>
    </w:r>
    <w:r>
      <w:rPr>
        <w:sz w:val="17"/>
        <w:color w:val="6A7884"/>
        <w:position w:val="14"/>
      </w:rPr>
      <w:tab/>
      <w:t>DECISION BUDGET</w:t>
    </w:r>
  </w:p>
  <w:p>
    <w:pPr>
      <w:spacing w:after="0"/>
      <w:jc w:val="left"/>
    </w:pPr>
    <w:r>
      <w:rPr>
        <w:sz w:val="17"/>
        <w:color w:val="6A7884"/>
      </w:rPr>
      <w:t>Technology · Engineering · Delivery</w:t>
    </w:r>
  </w:p>
</w:hdr>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rPr>
        <w:rFonts w:ascii="Symbol" w:hAnsi="Symbol" w:hint="default"/>
      </w:rPr>
    </w:lvl>
  </w:abstractNum>
  <w:abstractNum w:abstractNumId="2">
    <w:multiLevelType w:val="hybridMultilevel"/>
    <w:lvl w:ilvl="0">
      <w:start w:val="1"/>
      <w:numFmt w:val="decimal"/>
      <w:lvlText w:val="%1."/>
      <w:lvlJc w:val="left"/>
      <w:pPr>
        <w:ind w:left="72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Arial" w:hAnsi="Arial" w:cs="Arial"/>
        <w:color w:val="314352"/>
        <w:sz w:val="22"/>
        <w:lang w:val="en-GB"/>
      </w:rPr>
    </w:rPrDefault>
    <w:pPrDefault>
      <w:pPr>
        <w:spacing w:after="160" w:line="288" w:lineRule="auto"/>
        <w:widowControl/>
      </w:pPr>
    </w:pPrDefault>
  </w:docDefaults>
  <w:style w:type="paragraph" w:default="1" w:styleId="Normal">
    <w:name w:val="Normal"/>
    <w:qFormat/>
  </w:style>
  <w:style w:type="paragraph" w:styleId="Heading1">
    <w:name w:val="heading 1"/>
    <w:basedOn w:val="Normal"/>
    <w:next w:val="Normal"/>
    <w:qFormat/>
    <w:pPr>
      <w:keepNext/>
      <w:keepLines/>
      <w:pageBreakBefore/>
      <w:pBdr>
        <w:bottom w:val="single" w:sz="14" w:space="12" w:color="E73C17"/>
      </w:pBdr>
      <w:spacing w:before="280" w:after="180"/>
      <w:outlineLvl w:val="0"/>
    </w:pPr>
    <w:rPr>
      <w:rFonts w:ascii="Montserrat" w:hAnsi="Montserrat"/>
      <w:b/>
      <w:color w:val="314352"/>
      <w:sz w:val="50"/>
    </w:rPr>
  </w:style>
  <w:style w:type="paragraph" w:styleId="Heading2">
    <w:name w:val="heading 2"/>
    <w:basedOn w:val="Normal"/>
    <w:next w:val="Normal"/>
    <w:qFormat/>
    <w:pPr>
      <w:keepNext/>
      <w:keepLines/>
      <w:spacing w:before="300" w:after="180"/>
      <w:outlineLvl w:val="1"/>
    </w:pPr>
    <w:rPr>
      <w:rFonts w:ascii="Montserrat" w:hAnsi="Montserrat"/>
      <w:b/>
      <w:color w:val="314352"/>
      <w:sz w:val="27"/>
    </w:rPr>
  </w:style>
  <w:style w:type="paragraph" w:styleId="Heading3">
    <w:name w:val="heading 3"/>
    <w:basedOn w:val="Normal"/>
    <w:next w:val="Normal"/>
    <w:qFormat/>
    <w:pPr>
      <w:keepNext/>
      <w:keepLines/>
      <w:spacing w:before="200" w:after="180"/>
      <w:outlineLvl w:val="2"/>
    </w:pPr>
    <w:rPr>
      <w:rFonts w:ascii="Montserrat" w:hAnsi="Montserrat"/>
      <w:b/>
      <w:color w:val="B52D10"/>
      <w:sz w:val="23"/>
    </w:rPr>
  </w:style>
  <w:style w:type="paragraph" w:styleId="ListParagraph">
    <w:name w:val="List Paragraph"/>
    <w:basedOn w:val="Normal"/>
    <w:pPr>
      <w:spacing w:after="110"/>
      <w:ind w:left="360"/>
    </w:pPr>
  </w:style>
  <w:style w:type="character" w:styleId="Hyperlink">
    <w:name w:val="Hyperlink"/>
    <w:rPr>
      <w:color w:val="B52D10"/>
      <w:u w:val="single"/>
    </w:rPr>
  </w:style>
  <w:style w:type="table" w:styleId="SunholoTable">
    <w:name w:val="Sunholo Table"/>
    <w:pPr>
      <w:spacing w:before="0" w:after="60" w:line="260" w:lineRule="auto"/>
    </w:pPr>
    <w:rPr>
      <w:rFonts w:ascii="Arial" w:hAnsi="Arial" w:cs="Arial"/>
      <w:sz w:val="20"/>
      <w:color w:val="314352"/>
    </w:rPr>
    <w:tblPr>
      <w:tblBorders>
        <w:top w:val="single" w:sz="8" w:color="E73C17"/>
        <w:bottom w:val="single" w:sz="4" w:color="DCE2E7"/>
        <w:insideH w:val="single" w:sz="4" w:color="DCE2E7"/>
      </w:tblBorders>
      <w:tblCellMar>
        <w:top w:w="130" w:type="dxa"/>
        <w:left w:w="130" w:type="dxa"/>
        <w:bottom w:w="130" w:type="dxa"/>
        <w:right w:w="130" w:type="dxa"/>
      </w:tblCellMar>
    </w:tblPr>
    <w:tblStylePr w:type="firstRow">
      <w:rPr>
        <w:b/>
        <w:color w:val="314352"/>
      </w:rPr>
      <w:tcPr>
        <w:shd w:fill="F6F8FA"/>
      </w:tcPr>
    </w:tblStylePr>
  </w:style>
  <w:style w:type="paragraph" w:styleId="Heading4">
    <w:name w:val="heading 4"/>
    <w:basedOn w:val="Normal"/>
    <w:next w:val="Normal"/>
    <w:pPr>
      <w:keepNext/>
      <w:keepLines/>
      <w:spacing w:before="240" w:after="120"/>
      <w:outlineLvl w:val="3"/>
    </w:pPr>
    <w:rPr>
      <w:b/>
      <w:sz w:val="24"/>
      <w:color w:val="314352"/>
    </w:rPr>
  </w:style>
  <w:style w:type="paragraph" w:styleId="Heading5">
    <w:name w:val="heading 5"/>
    <w:pPr>
      <w:spacing w:before="240" w:after="120"/>
    </w:pPr>
    <w:rPr>
      <w:b/>
      <w:sz w:val="16"/>
    </w:rPr>
  </w:style>
  <w:style w:type="paragraph" w:styleId="Heading6">
    <w:name w:val="heading 6"/>
    <w:pPr>
      <w:spacing w:before="240" w:after="120"/>
    </w:pPr>
    <w:rPr>
      <w:b/>
      <w:sz w:val="14"/>
    </w:rPr>
  </w:style>
</w:styles>
</file>

<file path=word/_rels/document.xml.rels><?xml version="1.0" encoding="UTF-8" standalone="yes"?><Relationships xmlns="http://schemas.openxmlformats.org/package/2006/relationships"><Relationship Id="rStyles" Type="http://schemas.openxmlformats.org/officeDocument/2006/relationships/styles" Target="styles.xml"/><Relationship Id="rHeader" Type="http://schemas.openxmlformats.org/officeDocument/2006/relationships/header" Target="header.xml"/><Relationship Id="rFirst" Type="http://schemas.openxmlformats.org/officeDocument/2006/relationships/header" Target="header-first.xml"/><Relationship Id="rFooter" Type="http://schemas.openxmlformats.org/officeDocument/2006/relationships/footer" Target="footer.xml"/><Relationship Id="rIdNumbering" Type="http://schemas.openxmlformats.org/officeDocument/2006/relationships/numbering" Target="numbering.xml"/></Relationships>
</file>

<file path=word/_rels/header-first.xml.rels><?xml version="1.0" encoding="UTF-8" standalone="yes"?><Relationships xmlns="http://schemas.openxmlformats.org/package/2006/relationships"><Relationship Id="rLogo" Type="http://schemas.openxmlformats.org/officeDocument/2006/relationships/image" Target="media/brand.png"/></Relationships>
</file>

<file path=word/_rels/header.xml.rels><?xml version="1.0" encoding="UTF-8" standalone="yes"?><Relationships xmlns="http://schemas.openxmlformats.org/package/2006/relationships"><Relationship Id="rLogo" Type="http://schemas.openxmlformats.org/officeDocument/2006/relationships/image" Target="media/brand.png"/></Relationships>
</file>

<file path=docProps/core.xml><?xml version="1.0" encoding="utf-8"?>
<cp:coreProperties xmlns:cp="http://schemas.openxmlformats.org/package/2006/metadata/core-properties" xmlns:dc="http://purl.org/dc/elements/1.1/" xmlns:dcterms="http://purl.org/dc/terms/" xmlns:xsi="http://www.w3.org/2001/XMLSchema-instance"/>
</file>