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header.xml" ContentType="application/vnd.openxmlformats-officedocument.wordprocessingml.header+xml"/>
  <Override PartName="/word/header-first.xml" ContentType="application/vnd.openxmlformats-officedocument.wordprocessingml.header+xml"/>
  <Override PartName="/word/footer.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Doc" Type="http://schemas.openxmlformats.org/officeDocument/2006/relationships/officeDocument" Target="word/document.xml"/><Relationship Id="rIdCore"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pStyle w:val="Heading1"/>
      </w:pPr>
      <w:r>
        <w:t xml:space="preserve">Measurement Plan</w:t>
      </w:r>
    </w:p>
    <w:p>
      <w:pPr>
        <w:pStyle w:val="Heading2"/>
      </w:pPr>
      <w:r>
        <w:t xml:space="preserve">Harbour and Pine fictional customer support example</w:t>
      </w:r>
    </w:p>
    <w:p>
      <w:r>
        <w:rPr>
          <w:b/>
        </w:rPr>
        <w:t xml:space="preserve">Harbour and Pine (fictional demonstration)</w:t>
      </w:r>
      <w:r>
        <w:t xml:space="preserve"> · compiled 2026-09-12</w:t>
      </w:r>
    </w:p>
    <w:p>
      <w:r>
        <w:t xml:space="preserve">How to check quality and measure the effect on the work, including evidence still needed before more authority is delegated. Proposed checks are not evidence of readiness. Read alongside the build sequence for prerequisites and definitions of done.</w:t>
      </w:r>
    </w:p>
    <w:p>
      <w:pPr>
        <w:pBdr>
          <w:bottom w:val="single" w:sz="6" w:space="1" w:color="auto"/>
        </w:pBdr>
      </w:pPr>
    </w:p>
    <w:p>
      <w:pPr>
        <w:pStyle w:val="Heading2"/>
      </w:pPr>
      <w:r>
        <w:t xml:space="preserve">Proposed measurement approach</w:t>
      </w:r>
    </w:p>
    <w:p>
      <w:r>
        <w:t xml:space="preserve">Use the twenty synthetic cases in B-002. This illustrates test design; it is not evidence of production safety.</w:t>
      </w:r>
    </w:p>
    <w:p>
      <w:r>
        <w:t xml:space="preserve">Track factual support, prohibited actions, routing errors, human corrections and handover time separately. The support lead reviews paired answers; critical failures block progression.</w:t>
      </w:r>
    </w:p>
    <w:p>
      <w:r>
        <w:t xml:space="preserve">Resolve the response deadline, log access and retention before real traffic. Agree live-trial sampling and thresholds separately. No tests have been run and no savings are claimed.</w:t>
      </w:r>
    </w:p>
    <w:p>
      <w:pPr>
        <w:pStyle w:val="Heading2"/>
      </w:pPr>
      <w:r>
        <w:t xml:space="preserve">Current verification evidence</w:t>
      </w:r>
    </w:p>
    <w:p>
      <w:r>
        <w:t xml:space="preserve">The recorded method for checking each decision, when feedback arrives, and the effort required. Confirm that these checks exist and cover the intended use before relying on them.</w:t>
      </w:r>
    </w:p>
    <w:tbl>
      <w:tblPr>
        <w:tblStyle w:val="SunholoTable"/>
        <w:tblW w:w="9298" w:type="dxa"/>
        <w:tblLayout w:type="fixed"/>
      </w:tblPr>
      <w:tblGrid>
        <w:gridCol w:w="1100"/>
        <w:gridCol w:w="2600"/>
        <w:gridCol w:w="1800"/>
        <w:gridCol w:w="1800"/>
        <w:gridCol w:w="1998"/>
      </w:tblGrid>
      <w:tr>
        <w:trPr>
          <w:cantSplit/>
          <w:tblHeader/>
        </w:trPr>
        <w:tc>
          <w:tcPr>
            <w:tcW w:w="1100" w:type="dxa"/>
          </w:tcPr>
          <w:p>
            <w:pPr>
              <w:jc w:val="center"/>
            </w:pPr>
            <w:r>
              <w:rPr>
                <w:b/>
              </w:rPr>
              <w:t xml:space="preserve">Ref</w:t>
            </w:r>
          </w:p>
        </w:tc>
        <w:tc>
          <w:tcPr>
            <w:tcW w:w="2600" w:type="dxa"/>
          </w:tcPr>
          <w:p>
            <w:pPr>
              <w:jc w:val="center"/>
            </w:pPr>
            <w:r>
              <w:rPr>
                <w:b/>
              </w:rPr>
              <w:t xml:space="preserve">Decision</w:t>
            </w:r>
          </w:p>
        </w:tc>
        <w:tc>
          <w:tcPr>
            <w:tcW w:w="1800" w:type="dxa"/>
          </w:tcPr>
          <w:p>
            <w:pPr>
              <w:jc w:val="center"/>
            </w:pPr>
            <w:r>
              <w:rPr>
                <w:b/>
              </w:rPr>
              <w:t xml:space="preserve">Check level</w:t>
            </w:r>
          </w:p>
        </w:tc>
        <w:tc>
          <w:tcPr>
            <w:tcW w:w="1800" w:type="dxa"/>
          </w:tcPr>
          <w:p>
            <w:pPr>
              <w:jc w:val="center"/>
            </w:pPr>
            <w:r>
              <w:rPr>
                <w:b/>
              </w:rPr>
              <w:t xml:space="preserve">Verdict arrives</w:t>
            </w:r>
          </w:p>
        </w:tc>
        <w:tc>
          <w:tcPr>
            <w:tcW w:w="1998" w:type="dxa"/>
          </w:tcPr>
          <w:p>
            <w:pPr>
              <w:jc w:val="center"/>
            </w:pPr>
            <w:r>
              <w:rPr>
                <w:b/>
              </w:rPr>
              <w:t xml:space="preserve">Checking effort</w:t>
            </w:r>
          </w:p>
        </w:tc>
      </w:tr>
      <w:tr>
        <w:trPr>
          <w:cantSplit/>
        </w:trPr>
        <w:tc>
          <w:tcPr>
            <w:tcW w:w="1100" w:type="dxa"/>
          </w:tcPr>
          <w:p>
            <w:r>
              <w:t xml:space="preserve">D-001</w:t>
            </w:r>
          </w:p>
        </w:tc>
        <w:tc>
          <w:tcPr>
            <w:tcW w:w="2600" w:type="dxa"/>
          </w:tcPr>
          <w:p>
            <w:r>
              <w:t xml:space="preserve">Choose the authoritative delivery status</w:t>
            </w:r>
          </w:p>
        </w:tc>
        <w:tc>
          <w:tcPr>
            <w:tcW w:w="1800" w:type="dxa"/>
          </w:tcPr>
          <w:p>
            <w:r>
              <w:t xml:space="preserve">L0 none</w:t>
            </w:r>
          </w:p>
        </w:tc>
        <w:tc>
          <w:tcPr>
            <w:tcW w:w="1800" w:type="dxa"/>
          </w:tcPr>
          <w:p>
            <w:r>
              <w:t xml:space="preserve">At the proposed pilot review</w:t>
            </w:r>
          </w:p>
        </w:tc>
        <w:tc>
          <w:tcPr>
            <w:tcW w:w="1998" w:type="dxa"/>
          </w:tcPr>
          <w:p>
            <w:r>
              <w:t xml:space="preserve">a person, every time</w:t>
            </w:r>
          </w:p>
        </w:tc>
      </w:tr>
      <w:tr>
        <w:trPr>
          <w:cantSplit/>
        </w:trPr>
        <w:tc>
          <w:tcPr>
            <w:tcW w:w="1100" w:type="dxa"/>
          </w:tcPr>
          <w:p>
            <w:r>
              <w:t xml:space="preserve">D-002</w:t>
            </w:r>
          </w:p>
        </w:tc>
        <w:tc>
          <w:tcPr>
            <w:tcW w:w="2600" w:type="dxa"/>
          </w:tcPr>
          <w:p>
            <w:r>
              <w:t xml:space="preserve">Permit a bounded delivery status reply</w:t>
            </w:r>
          </w:p>
        </w:tc>
        <w:tc>
          <w:tcPr>
            <w:tcW w:w="1800" w:type="dxa"/>
          </w:tcPr>
          <w:p>
            <w:r>
              <w:t xml:space="preserve">L0 none</w:t>
            </w:r>
          </w:p>
        </w:tc>
        <w:tc>
          <w:tcPr>
            <w:tcW w:w="1800" w:type="dxa"/>
          </w:tcPr>
          <w:p>
            <w:r>
              <w:t xml:space="preserve">At the proposed pilot review</w:t>
            </w:r>
          </w:p>
        </w:tc>
        <w:tc>
          <w:tcPr>
            <w:tcW w:w="1998" w:type="dxa"/>
          </w:tcPr>
          <w:p>
            <w:r>
              <w:t xml:space="preserve">a person, every time</w:t>
            </w:r>
          </w:p>
        </w:tc>
      </w:tr>
      <w:tr>
        <w:trPr>
          <w:cantSplit/>
        </w:trPr>
        <w:tc>
          <w:tcPr>
            <w:tcW w:w="1100" w:type="dxa"/>
          </w:tcPr>
          <w:p>
            <w:r>
              <w:t xml:space="preserve">D-003</w:t>
            </w:r>
          </w:p>
        </w:tc>
        <w:tc>
          <w:tcPr>
            <w:tcW w:w="2600" w:type="dxa"/>
          </w:tcPr>
          <w:p>
            <w:r>
              <w:t xml:space="preserve">Keep refunds and address changes with people</w:t>
            </w:r>
          </w:p>
        </w:tc>
        <w:tc>
          <w:tcPr>
            <w:tcW w:w="1800" w:type="dxa"/>
          </w:tcPr>
          <w:p>
            <w:r>
              <w:t xml:space="preserve">L0 none</w:t>
            </w:r>
          </w:p>
        </w:tc>
        <w:tc>
          <w:tcPr>
            <w:tcW w:w="1800" w:type="dxa"/>
          </w:tcPr>
          <w:p>
            <w:r>
              <w:t xml:space="preserve">At the proposed pilot review</w:t>
            </w:r>
          </w:p>
        </w:tc>
        <w:tc>
          <w:tcPr>
            <w:tcW w:w="1998" w:type="dxa"/>
          </w:tcPr>
          <w:p>
            <w:r>
              <w:t xml:space="preserve">a person, every time</w:t>
            </w:r>
          </w:p>
        </w:tc>
      </w:tr>
      <w:tr>
        <w:trPr>
          <w:cantSplit/>
        </w:trPr>
        <w:tc>
          <w:tcPr>
            <w:tcW w:w="1100" w:type="dxa"/>
          </w:tcPr>
          <w:p>
            <w:r>
              <w:t xml:space="preserve">D-004</w:t>
            </w:r>
          </w:p>
        </w:tc>
        <w:tc>
          <w:tcPr>
            <w:tcW w:w="2600" w:type="dxa"/>
          </w:tcPr>
          <w:p>
            <w:r>
              <w:t xml:space="preserve">Set the missing-record handover deadline</w:t>
            </w:r>
          </w:p>
        </w:tc>
        <w:tc>
          <w:tcPr>
            <w:tcW w:w="1800" w:type="dxa"/>
          </w:tcPr>
          <w:p>
            <w:r>
              <w:t xml:space="preserve">L0 none</w:t>
            </w:r>
          </w:p>
        </w:tc>
        <w:tc>
          <w:tcPr>
            <w:tcW w:w="1800" w:type="dxa"/>
          </w:tcPr>
          <w:p>
            <w:r>
              <w:t xml:space="preserve">At the proposed pilot review</w:t>
            </w:r>
          </w:p>
        </w:tc>
        <w:tc>
          <w:tcPr>
            <w:tcW w:w="1998" w:type="dxa"/>
          </w:tcPr>
          <w:p>
            <w:r>
              <w:t xml:space="preserve">a person, every time</w:t>
            </w:r>
          </w:p>
        </w:tc>
      </w:tr>
      <w:tr>
        <w:trPr>
          <w:cantSplit/>
        </w:trPr>
        <w:tc>
          <w:tcPr>
            <w:tcW w:w="1100" w:type="dxa"/>
          </w:tcPr>
          <w:p>
            <w:r>
              <w:t xml:space="preserve">D-005</w:t>
            </w:r>
          </w:p>
        </w:tc>
        <w:tc>
          <w:tcPr>
            <w:tcW w:w="2600" w:type="dxa"/>
          </w:tcPr>
          <w:p>
            <w:r>
              <w:t xml:space="preserve">Approve evidence for a shadow trial</w:t>
            </w:r>
          </w:p>
        </w:tc>
        <w:tc>
          <w:tcPr>
            <w:tcW w:w="1800" w:type="dxa"/>
          </w:tcPr>
          <w:p>
            <w:r>
              <w:t xml:space="preserve">L0 none</w:t>
            </w:r>
          </w:p>
        </w:tc>
        <w:tc>
          <w:tcPr>
            <w:tcW w:w="1800" w:type="dxa"/>
          </w:tcPr>
          <w:p>
            <w:r>
              <w:t xml:space="preserve">At the proposed pilot review</w:t>
            </w:r>
          </w:p>
        </w:tc>
        <w:tc>
          <w:tcPr>
            <w:tcW w:w="1998" w:type="dxa"/>
          </w:tcPr>
          <w:p>
            <w:r>
              <w:t xml:space="preserve">a person, every time</w:t>
            </w:r>
          </w:p>
        </w:tc>
      </w:tr>
      <w:tr>
        <w:trPr>
          <w:cantSplit/>
        </w:trPr>
        <w:tc>
          <w:tcPr>
            <w:tcW w:w="1100" w:type="dxa"/>
          </w:tcPr>
          <w:p>
            <w:r>
              <w:t xml:space="preserve">D-006</w:t>
            </w:r>
          </w:p>
        </w:tc>
        <w:tc>
          <w:tcPr>
            <w:tcW w:w="2600" w:type="dxa"/>
          </w:tcPr>
          <w:p>
            <w:r>
              <w:t xml:space="preserve">Make decisions reconstructable</w:t>
            </w:r>
          </w:p>
        </w:tc>
        <w:tc>
          <w:tcPr>
            <w:tcW w:w="1800" w:type="dxa"/>
          </w:tcPr>
          <w:p>
            <w:r>
              <w:t xml:space="preserve">L0 none</w:t>
            </w:r>
          </w:p>
        </w:tc>
        <w:tc>
          <w:tcPr>
            <w:tcW w:w="1800" w:type="dxa"/>
          </w:tcPr>
          <w:p>
            <w:r>
              <w:t xml:space="preserve">At the proposed pilot review</w:t>
            </w:r>
          </w:p>
        </w:tc>
        <w:tc>
          <w:tcPr>
            <w:tcW w:w="1998" w:type="dxa"/>
          </w:tcPr>
          <w:p>
            <w:r>
              <w:t xml:space="preserve">a person, every time</w:t>
            </w:r>
          </w:p>
        </w:tc>
      </w:tr>
    </w:tbl>
    <w:p>
      <w:pPr>
        <w:pStyle w:val="Heading2"/>
      </w:pPr>
      <w:r>
        <w:t xml:space="preserve">What would have to be measured</w:t>
      </w:r>
    </w:p>
    <w:p>
      <w:r>
        <w:t xml:space="preserve">These decisions currently rely on human judgement. Identify whether examples, instrumentation or outcome measurement could support repeatable checking, or whether review should remain human. Agree the business value with the client.</w:t>
      </w:r>
    </w:p>
    <w:tbl>
      <w:tblPr>
        <w:tblStyle w:val="SunholoTable"/>
        <w:tblW w:w="9298" w:type="dxa"/>
        <w:tblLayout w:type="fixed"/>
      </w:tblPr>
      <w:tblGrid>
        <w:gridCol w:w="1100"/>
        <w:gridCol w:w="2600"/>
        <w:gridCol w:w="1800"/>
        <w:gridCol w:w="1800"/>
        <w:gridCol w:w="1998"/>
      </w:tblGrid>
      <w:tr>
        <w:trPr>
          <w:cantSplit/>
          <w:tblHeader/>
        </w:trPr>
        <w:tc>
          <w:tcPr>
            <w:tcW w:w="1100" w:type="dxa"/>
          </w:tcPr>
          <w:p>
            <w:pPr>
              <w:jc w:val="center"/>
            </w:pPr>
            <w:r>
              <w:rPr>
                <w:b/>
              </w:rPr>
              <w:t xml:space="preserve">Ref</w:t>
            </w:r>
          </w:p>
        </w:tc>
        <w:tc>
          <w:tcPr>
            <w:tcW w:w="2600" w:type="dxa"/>
          </w:tcPr>
          <w:p>
            <w:pPr>
              <w:jc w:val="center"/>
            </w:pPr>
            <w:r>
              <w:rPr>
                <w:b/>
              </w:rPr>
              <w:t xml:space="preserve">Decision</w:t>
            </w:r>
          </w:p>
        </w:tc>
        <w:tc>
          <w:tcPr>
            <w:tcW w:w="1800" w:type="dxa"/>
          </w:tcPr>
          <w:p>
            <w:pPr>
              <w:jc w:val="center"/>
            </w:pPr>
            <w:r>
              <w:rPr>
                <w:b/>
              </w:rPr>
              <w:t xml:space="preserve">What is not measured</w:t>
            </w:r>
          </w:p>
        </w:tc>
        <w:tc>
          <w:tcPr>
            <w:tcW w:w="1800" w:type="dxa"/>
          </w:tcPr>
          <w:p>
            <w:pPr>
              <w:jc w:val="center"/>
            </w:pPr>
            <w:r>
              <w:rPr>
                <w:b/>
              </w:rPr>
              <w:t xml:space="preserve">Work that would close it</w:t>
            </w:r>
          </w:p>
        </w:tc>
        <w:tc>
          <w:tcPr>
            <w:tcW w:w="1998" w:type="dxa"/>
          </w:tcPr>
          <w:p>
            <w:pPr>
              <w:jc w:val="center"/>
            </w:pPr>
            <w:r>
              <w:rPr>
                <w:b/>
              </w:rPr>
              <w:t xml:space="preserve">Value if automated </w:t>
            </w:r>
            <w:r>
              <w:rPr>
                <w:b/>
                <w:i/>
              </w:rPr>
              <w:t xml:space="preserve">(you)</w:t>
            </w:r>
          </w:p>
        </w:tc>
      </w:tr>
      <w:tr>
        <w:trPr>
          <w:cantSplit/>
        </w:trPr>
        <w:tc>
          <w:tcPr>
            <w:tcW w:w="1100" w:type="dxa"/>
          </w:tcPr>
          <w:p>
            <w:r>
              <w:t xml:space="preserve">D-001</w:t>
            </w:r>
          </w:p>
        </w:tc>
        <w:tc>
          <w:tcPr>
            <w:tcW w:w="2600" w:type="dxa"/>
          </w:tcPr>
          <w:p>
            <w:r>
              <w:t xml:space="preserve">Choose the authoritative delivery status</w:t>
            </w:r>
          </w:p>
        </w:tc>
        <w:tc>
          <w:tcPr>
            <w:tcW w:w="1800" w:type="dxa"/>
          </w:tcPr>
          <w:p>
            <w:r>
              <w:t xml:space="preserve">No record links conflicting source fields to the final human resolution.</w:t>
            </w:r>
          </w:p>
        </w:tc>
        <w:tc>
          <w:tcPr>
            <w:tcW w:w="1800" w:type="dxa"/>
          </w:tcPr>
          <w:p>
            <w:r>
              <w:rPr>
                <w:b/>
              </w:rPr>
              <w:t xml:space="preserve">1. Build the evidence and handover record</w:t>
            </w:r>
          </w:p>
        </w:tc>
        <w:tc>
          <w:tcPr>
            <w:tcW w:w="1998" w:type="dxa"/>
          </w:tcPr>
          <w:p>
            <w:r>
              <w:rPr>
                <w:i/>
              </w:rPr>
              <w:t xml:space="preserve">to agree</w:t>
            </w:r>
          </w:p>
        </w:tc>
      </w:tr>
      <w:tr>
        <w:trPr>
          <w:cantSplit/>
        </w:trPr>
        <w:tc>
          <w:tcPr>
            <w:tcW w:w="1100" w:type="dxa"/>
          </w:tcPr>
          <w:p>
            <w:r>
              <w:t xml:space="preserve">D-002</w:t>
            </w:r>
          </w:p>
        </w:tc>
        <w:tc>
          <w:tcPr>
            <w:tcW w:w="2600" w:type="dxa"/>
          </w:tcPr>
          <w:p>
            <w:r>
              <w:t xml:space="preserve">Permit a bounded delivery status reply</w:t>
            </w:r>
          </w:p>
        </w:tc>
        <w:tc>
          <w:tcPr>
            <w:tcW w:w="1800" w:type="dxa"/>
          </w:tcPr>
          <w:p>
            <w:r>
              <w:t xml:space="preserve">No paired record links a proposed reply to factual checks and human corrections.</w:t>
            </w:r>
          </w:p>
        </w:tc>
        <w:tc>
          <w:tcPr>
            <w:tcW w:w="1800" w:type="dxa"/>
          </w:tcPr>
          <w:p>
            <w:r>
              <w:rPr>
                <w:b/>
              </w:rPr>
              <w:t xml:space="preserve">1. Build the evidence and handover record</w:t>
            </w:r>
            <w:r>
              <w:t xml:space="preserve">, </w:t>
            </w:r>
            <w:r>
              <w:rPr>
                <w:b/>
              </w:rPr>
              <w:t xml:space="preserve">2. Create and agree the evaluation set</w:t>
            </w:r>
          </w:p>
        </w:tc>
        <w:tc>
          <w:tcPr>
            <w:tcW w:w="1998" w:type="dxa"/>
          </w:tcPr>
          <w:p>
            <w:r>
              <w:rPr>
                <w:i/>
              </w:rPr>
              <w:t xml:space="preserve">to agree</w:t>
            </w:r>
          </w:p>
        </w:tc>
      </w:tr>
      <w:tr>
        <w:trPr>
          <w:cantSplit/>
        </w:trPr>
        <w:tc>
          <w:tcPr>
            <w:tcW w:w="1100" w:type="dxa"/>
          </w:tcPr>
          <w:p>
            <w:r>
              <w:t xml:space="preserve">D-003</w:t>
            </w:r>
          </w:p>
        </w:tc>
        <w:tc>
          <w:tcPr>
            <w:tcW w:w="2600" w:type="dxa"/>
          </w:tcPr>
          <w:p>
            <w:r>
              <w:t xml:space="preserve">Keep refunds and address changes with people</w:t>
            </w:r>
          </w:p>
        </w:tc>
        <w:tc>
          <w:tcPr>
            <w:tcW w:w="1800" w:type="dxa"/>
          </w:tcPr>
          <w:p>
            <w:r>
              <w:t xml:space="preserve">Refund and address-change handovers are not logged with the authorised outcome.</w:t>
            </w:r>
          </w:p>
        </w:tc>
        <w:tc>
          <w:tcPr>
            <w:tcW w:w="1800" w:type="dxa"/>
          </w:tcPr>
          <w:p>
            <w:r>
              <w:rPr>
                <w:b/>
              </w:rPr>
              <w:t xml:space="preserve">1. Build the evidence and handover record</w:t>
            </w:r>
          </w:p>
        </w:tc>
        <w:tc>
          <w:tcPr>
            <w:tcW w:w="1998" w:type="dxa"/>
          </w:tcPr>
          <w:p>
            <w:r>
              <w:rPr>
                <w:i/>
              </w:rPr>
              <w:t xml:space="preserve">to agree</w:t>
            </w:r>
          </w:p>
        </w:tc>
      </w:tr>
      <w:tr>
        <w:trPr>
          <w:cantSplit/>
        </w:trPr>
        <w:tc>
          <w:tcPr>
            <w:tcW w:w="1100" w:type="dxa"/>
          </w:tcPr>
          <w:p>
            <w:r>
              <w:t xml:space="preserve">D-004</w:t>
            </w:r>
          </w:p>
        </w:tc>
        <w:tc>
          <w:tcPr>
            <w:tcW w:w="2600" w:type="dxa"/>
          </w:tcPr>
          <w:p>
            <w:r>
              <w:t xml:space="preserve">Set the missing-record handover deadline</w:t>
            </w:r>
          </w:p>
        </w:tc>
        <w:tc>
          <w:tcPr>
            <w:tcW w:w="1800" w:type="dxa"/>
          </w:tcPr>
          <w:p>
            <w:r>
              <w:t xml:space="preserve">Queue arrival, acknowledgement and resolution times are not linked.</w:t>
            </w:r>
          </w:p>
        </w:tc>
        <w:tc>
          <w:tcPr>
            <w:tcW w:w="1800" w:type="dxa"/>
          </w:tcPr>
          <w:p>
            <w:r>
              <w:rPr>
                <w:b/>
              </w:rPr>
              <w:t xml:space="preserve">1. Build the evidence and handover record</w:t>
            </w:r>
          </w:p>
        </w:tc>
        <w:tc>
          <w:tcPr>
            <w:tcW w:w="1998" w:type="dxa"/>
          </w:tcPr>
          <w:p>
            <w:r>
              <w:rPr>
                <w:i/>
              </w:rPr>
              <w:t xml:space="preserve">to agree</w:t>
            </w:r>
          </w:p>
        </w:tc>
      </w:tr>
      <w:tr>
        <w:trPr>
          <w:cantSplit/>
        </w:trPr>
        <w:tc>
          <w:tcPr>
            <w:tcW w:w="1100" w:type="dxa"/>
          </w:tcPr>
          <w:p>
            <w:r>
              <w:t xml:space="preserve">D-005</w:t>
            </w:r>
          </w:p>
        </w:tc>
        <w:tc>
          <w:tcPr>
            <w:tcW w:w="2600" w:type="dxa"/>
          </w:tcPr>
          <w:p>
            <w:r>
              <w:t xml:space="preserve">Approve evidence for a shadow trial</w:t>
            </w:r>
          </w:p>
        </w:tc>
        <w:tc>
          <w:tcPr>
            <w:tcW w:w="1800" w:type="dxa"/>
          </w:tcPr>
          <w:p>
            <w:r>
              <w:t xml:space="preserve">No agreed case set captures expected answers, exceptions and reviewer disagreements.</w:t>
            </w:r>
          </w:p>
        </w:tc>
        <w:tc>
          <w:tcPr>
            <w:tcW w:w="1800" w:type="dxa"/>
          </w:tcPr>
          <w:p>
            <w:r>
              <w:rPr>
                <w:b/>
              </w:rPr>
              <w:t xml:space="preserve">1. Build the evidence and handover record</w:t>
            </w:r>
            <w:r>
              <w:t xml:space="preserve">, </w:t>
            </w:r>
            <w:r>
              <w:rPr>
                <w:b/>
              </w:rPr>
              <w:t xml:space="preserve">2. Create and agree the evaluation set</w:t>
            </w:r>
          </w:p>
        </w:tc>
        <w:tc>
          <w:tcPr>
            <w:tcW w:w="1998" w:type="dxa"/>
          </w:tcPr>
          <w:p>
            <w:r>
              <w:rPr>
                <w:i/>
              </w:rPr>
              <w:t xml:space="preserve">to agree</w:t>
            </w:r>
          </w:p>
        </w:tc>
      </w:tr>
      <w:tr>
        <w:trPr>
          <w:cantSplit/>
        </w:trPr>
        <w:tc>
          <w:tcPr>
            <w:tcW w:w="1100" w:type="dxa"/>
          </w:tcPr>
          <w:p>
            <w:r>
              <w:t xml:space="preserve">D-006</w:t>
            </w:r>
          </w:p>
        </w:tc>
        <w:tc>
          <w:tcPr>
            <w:tcW w:w="2600" w:type="dxa"/>
          </w:tcPr>
          <w:p>
            <w:r>
              <w:t xml:space="preserve">Make decisions reconstructable</w:t>
            </w:r>
          </w:p>
        </w:tc>
        <w:tc>
          <w:tcPr>
            <w:tcW w:w="1800" w:type="dxa"/>
          </w:tcPr>
          <w:p>
            <w:r>
              <w:t xml:space="preserve">Log completeness, access and retention have no agreed review procedure.</w:t>
            </w:r>
          </w:p>
        </w:tc>
        <w:tc>
          <w:tcPr>
            <w:tcW w:w="1800" w:type="dxa"/>
          </w:tcPr>
          <w:p>
            <w:r>
              <w:rPr>
                <w:b/>
              </w:rPr>
              <w:t xml:space="preserve">1. Build the evidence and handover record</w:t>
            </w:r>
          </w:p>
        </w:tc>
        <w:tc>
          <w:tcPr>
            <w:tcW w:w="1998" w:type="dxa"/>
          </w:tcPr>
          <w:p>
            <w:r>
              <w:rPr>
                <w:i/>
              </w:rPr>
              <w:t xml:space="preserve">to agree</w:t>
            </w:r>
          </w:p>
        </w:tc>
      </w:tr>
    </w:tbl>
    <w:p>
      <w:r>
        <w:t xml:space="preserve">Where the fourth column reads </w:t>
      </w:r>
      <w:r>
        <w:rPr>
          <w:i/>
        </w:rPr>
        <w:t xml:space="preserve">not yet planned</w:t>
      </w:r>
      <w:r>
        <w:t xml:space="preserve">, no build item is linked to the measurement gap. Confirm whether work is needed, who owns it and when it should happen.</w:t>
      </w:r>
    </w:p>
    <w:p>
      <w:pPr>
        <w:pStyle w:val="Heading2"/>
      </w:pPr>
      <w:r>
        <w:t xml:space="preserve">The measurement layer</w:t>
      </w:r>
    </w:p>
    <w:p>
      <w:r>
        <w:t xml:space="preserve">These build items are linked to verification gaps. They may include agreed examples, instrumentation or outcome measurement. Confirm their prerequisites and data permissions before starting.</w:t>
      </w:r>
    </w:p>
    <w:p>
      <w:pPr>
        <w:pStyle w:val="Heading3"/>
      </w:pPr>
      <w:r>
        <w:t xml:space="preserve">1. Build the evidence and handover record</w:t>
      </w:r>
    </w:p>
    <w:p>
      <w:r>
        <w:t xml:space="preserve">Logging and queue ownership are prerequisites for a meaningful trial.</w:t>
      </w:r>
    </w:p>
    <w:p>
      <w:pPr>
        <w:pStyle w:val="Heading4"/>
      </w:pPr>
      <w:r>
        <w:t xml:space="preserve">Decisions this work helps verify</w:t>
      </w:r>
    </w:p>
    <w:p>
      <w:pPr>
        <w:pStyle w:val="ListParagraph"/>
        <w:numPr>
          <w:ilvl w:val="0"/>
          <w:numId w:val="1"/>
        </w:numPr>
      </w:pPr>
      <w:r>
        <w:t xml:space="preserve">D-001 — Choose the authoritative delivery status</w:t>
      </w:r>
    </w:p>
    <w:p>
      <w:pPr>
        <w:pStyle w:val="ListParagraph"/>
        <w:numPr>
          <w:ilvl w:val="0"/>
          <w:numId w:val="1"/>
        </w:numPr>
      </w:pPr>
      <w:r>
        <w:t xml:space="preserve">D-002 — Permit a bounded delivery status reply</w:t>
      </w:r>
    </w:p>
    <w:p>
      <w:pPr>
        <w:pStyle w:val="ListParagraph"/>
        <w:numPr>
          <w:ilvl w:val="0"/>
          <w:numId w:val="1"/>
        </w:numPr>
      </w:pPr>
      <w:r>
        <w:t xml:space="preserve">D-003 — Keep refunds and address changes with people</w:t>
      </w:r>
    </w:p>
    <w:p>
      <w:pPr>
        <w:pStyle w:val="ListParagraph"/>
        <w:numPr>
          <w:ilvl w:val="0"/>
          <w:numId w:val="1"/>
        </w:numPr>
      </w:pPr>
      <w:r>
        <w:t xml:space="preserve">D-004 — Set the missing-record handover deadline</w:t>
      </w:r>
    </w:p>
    <w:p>
      <w:pPr>
        <w:pStyle w:val="ListParagraph"/>
        <w:numPr>
          <w:ilvl w:val="0"/>
          <w:numId w:val="1"/>
        </w:numPr>
      </w:pPr>
      <w:r>
        <w:t xml:space="preserve">D-005 — Approve evidence for a shadow trial</w:t>
      </w:r>
    </w:p>
    <w:p>
      <w:pPr>
        <w:pStyle w:val="ListParagraph"/>
        <w:numPr>
          <w:ilvl w:val="0"/>
          <w:numId w:val="1"/>
        </w:numPr>
      </w:pPr>
      <w:r>
        <w:t xml:space="preserve">D-006 — Make decisions reconstructable</w:t>
      </w:r>
    </w:p>
    <w:p>
      <w:pPr>
        <w:pStyle w:val="Heading3"/>
      </w:pPr>
      <w:r>
        <w:t xml:space="preserve">2. Create and agree the evaluation set</w:t>
      </w:r>
    </w:p>
    <w:p>
      <w:r>
        <w:t xml:space="preserve">The team must agree what correct means before comparing assistant replies.</w:t>
      </w:r>
    </w:p>
    <w:p>
      <w:pPr>
        <w:pStyle w:val="Heading4"/>
      </w:pPr>
      <w:r>
        <w:t xml:space="preserve">Decisions this work helps verify</w:t>
      </w:r>
    </w:p>
    <w:p>
      <w:pPr>
        <w:pStyle w:val="ListParagraph"/>
        <w:numPr>
          <w:ilvl w:val="0"/>
          <w:numId w:val="1"/>
        </w:numPr>
      </w:pPr>
      <w:r>
        <w:t xml:space="preserve">D-002 — Permit a bounded delivery status reply</w:t>
      </w:r>
    </w:p>
    <w:p>
      <w:pPr>
        <w:pStyle w:val="ListParagraph"/>
        <w:numPr>
          <w:ilvl w:val="0"/>
          <w:numId w:val="1"/>
        </w:numPr>
      </w:pPr>
      <w:r>
        <w:t xml:space="preserve">D-005 — Approve evidence for a shadow trial</w:t>
      </w:r>
    </w:p>
    <w:p>
      <w:pPr>
        <w:pStyle w:val="Heading2"/>
      </w:pPr>
      <w:r>
        <w:t xml:space="preserve">How to read the verification levels</w:t>
      </w:r>
    </w:p>
    <w:tbl>
      <w:tblPr>
        <w:tblStyle w:val="SunholoTable"/>
        <w:tblW w:w="9298" w:type="dxa"/>
        <w:tblLayout w:type="fixed"/>
      </w:tblPr>
      <w:tblGrid>
        <w:gridCol w:w="1300"/>
        <w:gridCol w:w="2900"/>
        <w:gridCol w:w="2500"/>
        <w:gridCol w:w="2598"/>
      </w:tblGrid>
      <w:tr>
        <w:trPr>
          <w:cantSplit/>
          <w:tblHeader/>
        </w:trPr>
        <w:tc>
          <w:tcPr>
            <w:tcW w:w="1300" w:type="dxa"/>
          </w:tcPr>
          <w:p>
            <w:pPr>
              <w:jc w:val="center"/>
            </w:pPr>
            <w:r>
              <w:rPr>
                <w:b/>
              </w:rPr>
              <w:t xml:space="preserve"/>
            </w:r>
          </w:p>
        </w:tc>
        <w:tc>
          <w:tcPr>
            <w:tcW w:w="2900" w:type="dxa"/>
          </w:tcPr>
          <w:p>
            <w:pPr>
              <w:jc w:val="center"/>
            </w:pPr>
            <w:r>
              <w:rPr>
                <w:b/>
              </w:rPr>
              <w:t xml:space="preserve">Correctness check</w:t>
            </w:r>
          </w:p>
        </w:tc>
        <w:tc>
          <w:tcPr>
            <w:tcW w:w="2500" w:type="dxa"/>
          </w:tcPr>
          <w:p>
            <w:pPr>
              <w:jc w:val="center"/>
            </w:pPr>
            <w:r>
              <w:rPr>
                <w:b/>
              </w:rPr>
              <w:t xml:space="preserve">Human effort</w:t>
            </w:r>
          </w:p>
        </w:tc>
        <w:tc>
          <w:tcPr>
            <w:tcW w:w="2598" w:type="dxa"/>
          </w:tcPr>
          <w:p>
            <w:pPr>
              <w:jc w:val="center"/>
            </w:pPr>
            <w:r>
              <w:rPr>
                <w:b/>
              </w:rPr>
              <w:t xml:space="preserve">Main constraint</w:t>
            </w:r>
          </w:p>
        </w:tc>
      </w:tr>
      <w:tr>
        <w:trPr>
          <w:cantSplit/>
        </w:trPr>
        <w:tc>
          <w:tcPr>
            <w:tcW w:w="1300" w:type="dxa"/>
          </w:tcPr>
          <w:p>
            <w:r>
              <w:t xml:space="preserve">L0</w:t>
            </w:r>
          </w:p>
        </w:tc>
        <w:tc>
          <w:tcPr>
            <w:tcW w:w="2900" w:type="dxa"/>
          </w:tcPr>
          <w:p>
            <w:r>
              <w:t xml:space="preserve">A person judges each case</w:t>
            </w:r>
          </w:p>
        </w:tc>
        <w:tc>
          <w:tcPr>
            <w:tcW w:w="2500" w:type="dxa"/>
          </w:tcPr>
          <w:p>
            <w:r>
              <w:t xml:space="preserve">Per review</w:t>
            </w:r>
          </w:p>
        </w:tc>
        <w:tc>
          <w:tcPr>
            <w:tcW w:w="2598" w:type="dxa"/>
          </w:tcPr>
          <w:p>
            <w:r>
              <w:t xml:space="preserve">Reviewer capacity and consistency</w:t>
            </w:r>
          </w:p>
        </w:tc>
      </w:tr>
      <w:tr>
        <w:trPr>
          <w:cantSplit/>
        </w:trPr>
        <w:tc>
          <w:tcPr>
            <w:tcW w:w="1300" w:type="dxa"/>
          </w:tcPr>
          <w:p>
            <w:r>
              <w:t xml:space="preserve">L1</w:t>
            </w:r>
          </w:p>
        </w:tc>
        <w:tc>
          <w:tcPr>
            <w:tcW w:w="2900" w:type="dxa"/>
          </w:tcPr>
          <w:p>
            <w:r>
              <w:t xml:space="preserve">Agreed examples or rubric, checked automatically</w:t>
            </w:r>
          </w:p>
        </w:tc>
        <w:tc>
          <w:tcPr>
            <w:tcW w:w="2500" w:type="dxa"/>
          </w:tcPr>
          <w:p>
            <w:r>
              <w:t xml:space="preserve">Preparation, maintenance and spot checks</w:t>
            </w:r>
          </w:p>
        </w:tc>
        <w:tc>
          <w:tcPr>
            <w:tcW w:w="2598" w:type="dxa"/>
          </w:tcPr>
          <w:p>
            <w:r>
              <w:t xml:space="preserve">Coverage and relevance</w:t>
            </w:r>
          </w:p>
        </w:tc>
      </w:tr>
      <w:tr>
        <w:trPr>
          <w:cantSplit/>
        </w:trPr>
        <w:tc>
          <w:tcPr>
            <w:tcW w:w="1300" w:type="dxa"/>
          </w:tcPr>
          <w:p>
            <w:r>
              <w:t xml:space="preserve">L2</w:t>
            </w:r>
          </w:p>
        </w:tc>
        <w:tc>
          <w:tcPr>
            <w:tcW w:w="2900" w:type="dxa"/>
          </w:tcPr>
          <w:p>
            <w:r>
              <w:t xml:space="preserve">Machine-observed outcome, delayed or noisy</w:t>
            </w:r>
          </w:p>
        </w:tc>
        <w:tc>
          <w:tcPr>
            <w:tcW w:w="2500" w:type="dxa"/>
          </w:tcPr>
          <w:p>
            <w:r>
              <w:t xml:space="preserve">Oversight and investigation</w:t>
            </w:r>
          </w:p>
        </w:tc>
        <w:tc>
          <w:tcPr>
            <w:tcW w:w="2598" w:type="dxa"/>
          </w:tcPr>
          <w:p>
            <w:r>
              <w:t xml:space="preserve">Delay, noise and attribution</w:t>
            </w:r>
          </w:p>
        </w:tc>
      </w:tr>
      <w:tr>
        <w:trPr>
          <w:cantSplit/>
        </w:trPr>
        <w:tc>
          <w:tcPr>
            <w:tcW w:w="1300" w:type="dxa"/>
          </w:tcPr>
          <w:p>
            <w:r>
              <w:t xml:space="preserve">L3</w:t>
            </w:r>
          </w:p>
        </w:tc>
        <w:tc>
          <w:tcPr>
            <w:tcW w:w="2900" w:type="dxa"/>
          </w:tcPr>
          <w:p>
            <w:r>
              <w:t xml:space="preserve">Prompt, repeatable machine check</w:t>
            </w:r>
          </w:p>
        </w:tc>
        <w:tc>
          <w:tcPr>
            <w:tcW w:w="2500" w:type="dxa"/>
          </w:tcPr>
          <w:p>
            <w:r>
              <w:t xml:space="preserve">Oversight and maintenance</w:t>
            </w:r>
          </w:p>
        </w:tc>
        <w:tc>
          <w:tcPr>
            <w:tcW w:w="2598" w:type="dxa"/>
          </w:tcPr>
          <w:p>
            <w:r>
              <w:t xml:space="preserve">Check coverage and operating cost</w:t>
            </w:r>
          </w:p>
        </w:tc>
      </w:tr>
    </w:tbl>
    <w:p>
      <w:r>
        <w:t xml:space="preserve">Agreed examples can make repeated checking cheaper. They need maintenance as the workflow changes. Passing a fixed test set does not establish performance on every future case or make a system improve automatically.</w:t>
      </w:r>
    </w:p>
    <w:sectPr>
      <w:headerReference w:type="default" r:id="rHeader"/>
      <w:headerReference w:type="first" r:id="rFirst"/>
      <w:footerReference w:type="default" r:id="rFooter"/>
      <w:footerReference w:type="first" r:id="rFooter"/>
      <w:pgSz w:w="11906" w:h="16838"/>
      <w:pgMar w:top="2100" w:right="1304" w:bottom="1300" w:left="1304" w:header="620" w:footer="640"/>
      <w:titlePg/>
    </w:sectPr>
  </w:body>
</w:document>
</file>

<file path=word/footer.xml><?xml version="1.0" encoding="utf-8"?>
<w:ftr xmlns:w="http://schemas.openxmlformats.org/wordprocessingml/2006/main">
  <w:p>
    <w:pPr>
      <w:pBdr>
        <w:top w:val="single" w:sz="4" w:space="10" w:color="DCE2E7"/>
      </w:pBdr>
      <w:tabs>
        <w:tab w:val="right" w:pos="9298"/>
      </w:tabs>
      <w:spacing w:before="120" w:after="0"/>
    </w:pPr>
    <w:r>
      <w:rPr>
        <w:sz w:val="16"/>
        <w:color w:val="6A7884"/>
      </w:rPr>
      <w:t>Holosun ApS · CVR 44324687 · sunholo.com</w:t>
      <w:tab/>
    </w:r>
    <w:fldSimple w:instr="PAGE">
      <w:r>
        <w:rPr>
          <w:sz w:val="16"/>
          <w:color w:val="6A7884"/>
        </w:rPr>
        <w:t>1</w:t>
      </w:r>
    </w:fldSimple>
  </w:p>
</w:ftr>
</file>

<file path=word/header-first.xml><?xml version="1.0" encoding="utf-8"?>
<w:hdr xmlns:w="http://schemas.openxmlformats.org/wordprocessingml/2006/main" xmlns:r="http://schemas.openxmlformats.org/officeDocument/2006/relationships">
  <w:p>
    <w:pPr>
      <w:spacing w:after="70"/>
      <w:tabs>
        <w:tab w:val="right" w:pos="9298"/>
      </w:tabs>
    </w:pPr>
    <w:r>
      <w:drawing>
        <wp:inline xmlns:wp="http://schemas.openxmlformats.org/drawingml/2006/wordprocessingDrawing" distT="0" distB="0" distL="0" distR="0">
          <wp:extent cx="640000" cy="640000"/>
          <wp:docPr id="1" name="Brand logo" descr="Holosun ApS logo"/>
          <a:graphic xmlns:a="http://schemas.openxmlformats.org/drawingml/2006/main">
            <a:graphicData uri="http://schemas.openxmlformats.org/drawingml/2006/picture">
              <pic:pic xmlns:pic="http://schemas.openxmlformats.org/drawingml/2006/picture">
                <pic:nvPicPr>
                  <pic:cNvPr id="0" name="brand.png"/>
                  <pic:cNvPicPr/>
                </pic:nvPicPr>
                <pic:blipFill>
                  <a:blip r:embed="rLogo"/>
                  <a:stretch>
                    <a:fillRect/>
                  </a:stretch>
                </pic:blipFill>
                <pic:spPr>
                  <a:xfrm>
                    <a:off x="0" y="0"/>
                    <a:ext cx="640000" cy="640000"/>
                  </a:xfrm>
                  <a:prstGeom prst="rect">
                    <a:avLst/>
                  </a:prstGeom>
                </pic:spPr>
              </pic:pic>
            </a:graphicData>
          </a:graphic>
        </wp:inline>
      </w:drawing>
    </w:r>
    <w:r>
      <w:rPr>
        <w:rFonts w:ascii="Montserrat" w:hAnsi="Montserrat"/>
        <w:b/>
        <w:color w:val="314352"/>
        <w:sz w:val="48"/>
        <w:position w:val="30"/>
      </w:rPr>
      <w:t xml:space="preserve"> Holosun ApS</w:t>
    </w:r>
    <w:r>
      <w:rPr>
        <w:sz w:val="17"/>
        <w:color w:val="6A7884"/>
        <w:position w:val="30"/>
      </w:rPr>
      <w:tab/>
      <w:t>DECISION BUDGET</w:t>
    </w:r>
  </w:p>
  <w:p>
    <w:pPr>
      <w:spacing w:after="0"/>
      <w:jc w:val="left"/>
    </w:pPr>
    <w:r>
      <w:rPr>
        <w:sz w:val="17"/>
        <w:color w:val="6A7884"/>
      </w:rPr>
      <w:t>Technology · Engineering · Delivery</w:t>
    </w:r>
  </w:p>
</w:hdr>
</file>

<file path=word/header.xml><?xml version="1.0" encoding="utf-8"?>
<w:hdr xmlns:w="http://schemas.openxmlformats.org/wordprocessingml/2006/main" xmlns:r="http://schemas.openxmlformats.org/officeDocument/2006/relationships">
  <w:p>
    <w:pPr>
      <w:spacing w:after="70"/>
      <w:tabs>
        <w:tab w:val="right" w:pos="9298"/>
      </w:tabs>
    </w:pPr>
    <w:r>
      <w:drawing>
        <wp:inline xmlns:wp="http://schemas.openxmlformats.org/drawingml/2006/wordprocessingDrawing" distT="0" distB="0" distL="0" distR="0">
          <wp:extent cx="300000" cy="300000"/>
          <wp:docPr id="1" name="Brand logo" descr="Holosun ApS logo"/>
          <a:graphic xmlns:a="http://schemas.openxmlformats.org/drawingml/2006/main">
            <a:graphicData uri="http://schemas.openxmlformats.org/drawingml/2006/picture">
              <pic:pic xmlns:pic="http://schemas.openxmlformats.org/drawingml/2006/picture">
                <pic:nvPicPr>
                  <pic:cNvPr id="0" name="brand.png"/>
                  <pic:cNvPicPr/>
                </pic:nvPicPr>
                <pic:blipFill>
                  <a:blip r:embed="rLogo"/>
                  <a:stretch>
                    <a:fillRect/>
                  </a:stretch>
                </pic:blipFill>
                <pic:spPr>
                  <a:xfrm>
                    <a:off x="0" y="0"/>
                    <a:ext cx="300000" cy="300000"/>
                  </a:xfrm>
                  <a:prstGeom prst="rect">
                    <a:avLst/>
                  </a:prstGeom>
                </pic:spPr>
              </pic:pic>
            </a:graphicData>
          </a:graphic>
        </wp:inline>
      </w:drawing>
    </w:r>
    <w:r>
      <w:rPr>
        <w:rFonts w:ascii="Montserrat" w:hAnsi="Montserrat"/>
        <w:b/>
        <w:color w:val="314352"/>
        <w:sz w:val="25"/>
        <w:position w:val="14"/>
      </w:rPr>
      <w:t xml:space="preserve"> Holosun ApS</w:t>
    </w:r>
    <w:r>
      <w:rPr>
        <w:sz w:val="17"/>
        <w:color w:val="6A7884"/>
        <w:position w:val="14"/>
      </w:rPr>
      <w:tab/>
      <w:t>DECISION BUDGET</w:t>
    </w:r>
  </w:p>
  <w:p>
    <w:pPr>
      <w:spacing w:after="0"/>
      <w:jc w:val="left"/>
    </w:pPr>
    <w:r>
      <w:rPr>
        <w:sz w:val="17"/>
        <w:color w:val="6A7884"/>
      </w:rPr>
      <w:t>Technology · Engineering · Delivery</w:t>
    </w:r>
  </w:p>
</w:hdr>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rPr>
        <w:rFonts w:ascii="Symbol" w:hAnsi="Symbol" w:hint="default"/>
      </w:rPr>
    </w:lvl>
  </w:abstractNum>
  <w:abstractNum w:abstractNumId="2">
    <w:multiLevelType w:val="hybridMultilevel"/>
    <w:lvl w:ilvl="0">
      <w:start w:val="1"/>
      <w:numFmt w:val="decimal"/>
      <w:lvlText w:val="%1."/>
      <w:lvlJc w:val="left"/>
      <w:pPr>
        <w:ind w:left="72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Arial" w:hAnsi="Arial" w:cs="Arial"/>
        <w:color w:val="314352"/>
        <w:sz w:val="22"/>
        <w:lang w:val="en-GB"/>
      </w:rPr>
    </w:rPrDefault>
    <w:pPrDefault>
      <w:pPr>
        <w:spacing w:after="160" w:line="288" w:lineRule="auto"/>
        <w:widowControl/>
      </w:pPr>
    </w:pPrDefault>
  </w:docDefaults>
  <w:style w:type="paragraph" w:default="1" w:styleId="Normal">
    <w:name w:val="Normal"/>
    <w:qFormat/>
  </w:style>
  <w:style w:type="paragraph" w:styleId="Heading1">
    <w:name w:val="heading 1"/>
    <w:basedOn w:val="Normal"/>
    <w:next w:val="Normal"/>
    <w:qFormat/>
    <w:pPr>
      <w:keepNext/>
      <w:keepLines/>
      <w:pageBreakBefore/>
      <w:pBdr>
        <w:bottom w:val="single" w:sz="14" w:space="12" w:color="E73C17"/>
      </w:pBdr>
      <w:spacing w:before="280" w:after="180"/>
      <w:outlineLvl w:val="0"/>
    </w:pPr>
    <w:rPr>
      <w:rFonts w:ascii="Montserrat" w:hAnsi="Montserrat"/>
      <w:b/>
      <w:color w:val="314352"/>
      <w:sz w:val="50"/>
    </w:rPr>
  </w:style>
  <w:style w:type="paragraph" w:styleId="Heading2">
    <w:name w:val="heading 2"/>
    <w:basedOn w:val="Normal"/>
    <w:next w:val="Normal"/>
    <w:qFormat/>
    <w:pPr>
      <w:keepNext/>
      <w:keepLines/>
      <w:spacing w:before="300" w:after="180"/>
      <w:outlineLvl w:val="1"/>
    </w:pPr>
    <w:rPr>
      <w:rFonts w:ascii="Montserrat" w:hAnsi="Montserrat"/>
      <w:b/>
      <w:color w:val="314352"/>
      <w:sz w:val="27"/>
    </w:rPr>
  </w:style>
  <w:style w:type="paragraph" w:styleId="Heading3">
    <w:name w:val="heading 3"/>
    <w:basedOn w:val="Normal"/>
    <w:next w:val="Normal"/>
    <w:qFormat/>
    <w:pPr>
      <w:keepNext/>
      <w:keepLines/>
      <w:spacing w:before="200" w:after="180"/>
      <w:outlineLvl w:val="2"/>
    </w:pPr>
    <w:rPr>
      <w:rFonts w:ascii="Montserrat" w:hAnsi="Montserrat"/>
      <w:b/>
      <w:color w:val="B52D10"/>
      <w:sz w:val="23"/>
    </w:rPr>
  </w:style>
  <w:style w:type="paragraph" w:styleId="ListParagraph">
    <w:name w:val="List Paragraph"/>
    <w:basedOn w:val="Normal"/>
    <w:pPr>
      <w:spacing w:after="110"/>
      <w:ind w:left="360"/>
    </w:pPr>
  </w:style>
  <w:style w:type="character" w:styleId="Hyperlink">
    <w:name w:val="Hyperlink"/>
    <w:rPr>
      <w:color w:val="B52D10"/>
      <w:u w:val="single"/>
    </w:rPr>
  </w:style>
  <w:style w:type="table" w:styleId="SunholoTable">
    <w:name w:val="Sunholo Table"/>
    <w:pPr>
      <w:spacing w:before="0" w:after="60" w:line="260" w:lineRule="auto"/>
    </w:pPr>
    <w:rPr>
      <w:rFonts w:ascii="Arial" w:hAnsi="Arial" w:cs="Arial"/>
      <w:sz w:val="20"/>
      <w:color w:val="314352"/>
    </w:rPr>
    <w:tblPr>
      <w:tblBorders>
        <w:top w:val="single" w:sz="8" w:color="E73C17"/>
        <w:bottom w:val="single" w:sz="4" w:color="DCE2E7"/>
        <w:insideH w:val="single" w:sz="4" w:color="DCE2E7"/>
      </w:tblBorders>
      <w:tblCellMar>
        <w:top w:w="130" w:type="dxa"/>
        <w:left w:w="130" w:type="dxa"/>
        <w:bottom w:w="130" w:type="dxa"/>
        <w:right w:w="130" w:type="dxa"/>
      </w:tblCellMar>
    </w:tblPr>
    <w:tblStylePr w:type="firstRow">
      <w:rPr>
        <w:b/>
        <w:color w:val="314352"/>
      </w:rPr>
      <w:tcPr>
        <w:shd w:fill="F6F8FA"/>
      </w:tcPr>
    </w:tblStylePr>
  </w:style>
  <w:style w:type="paragraph" w:styleId="Heading4">
    <w:name w:val="heading 4"/>
    <w:basedOn w:val="Normal"/>
    <w:next w:val="Normal"/>
    <w:pPr>
      <w:keepNext/>
      <w:keepLines/>
      <w:spacing w:before="240" w:after="120"/>
      <w:outlineLvl w:val="3"/>
    </w:pPr>
    <w:rPr>
      <w:b/>
      <w:sz w:val="24"/>
      <w:color w:val="314352"/>
    </w:rPr>
  </w:style>
  <w:style w:type="paragraph" w:styleId="Heading5">
    <w:name w:val="heading 5"/>
    <w:pPr>
      <w:spacing w:before="240" w:after="120"/>
    </w:pPr>
    <w:rPr>
      <w:b/>
      <w:sz w:val="16"/>
    </w:rPr>
  </w:style>
  <w:style w:type="paragraph" w:styleId="Heading6">
    <w:name w:val="heading 6"/>
    <w:pPr>
      <w:spacing w:before="240" w:after="120"/>
    </w:pPr>
    <w:rPr>
      <w:b/>
      <w:sz w:val="14"/>
    </w:rPr>
  </w:style>
</w:styles>
</file>

<file path=word/_rels/document.xml.rels><?xml version="1.0" encoding="UTF-8" standalone="yes"?><Relationships xmlns="http://schemas.openxmlformats.org/package/2006/relationships"><Relationship Id="rStyles" Type="http://schemas.openxmlformats.org/officeDocument/2006/relationships/styles" Target="styles.xml"/><Relationship Id="rHeader" Type="http://schemas.openxmlformats.org/officeDocument/2006/relationships/header" Target="header.xml"/><Relationship Id="rFirst" Type="http://schemas.openxmlformats.org/officeDocument/2006/relationships/header" Target="header-first.xml"/><Relationship Id="rFooter" Type="http://schemas.openxmlformats.org/officeDocument/2006/relationships/footer" Target="footer.xml"/><Relationship Id="rIdNumbering" Type="http://schemas.openxmlformats.org/officeDocument/2006/relationships/numbering" Target="numbering.xml"/></Relationships>
</file>

<file path=word/_rels/header-first.xml.rels><?xml version="1.0" encoding="UTF-8" standalone="yes"?><Relationships xmlns="http://schemas.openxmlformats.org/package/2006/relationships"><Relationship Id="rLogo" Type="http://schemas.openxmlformats.org/officeDocument/2006/relationships/image" Target="media/brand.png"/></Relationships>
</file>

<file path=word/_rels/header.xml.rels><?xml version="1.0" encoding="UTF-8" standalone="yes"?><Relationships xmlns="http://schemas.openxmlformats.org/package/2006/relationships"><Relationship Id="rLogo" Type="http://schemas.openxmlformats.org/officeDocument/2006/relationships/image" Target="media/brand.png"/></Relationships>
</file>

<file path=docProps/core.xml><?xml version="1.0" encoding="utf-8"?>
<cp:coreProperties xmlns:cp="http://schemas.openxmlformats.org/package/2006/metadata/core-properties" xmlns:dc="http://purl.org/dc/elements/1.1/" xmlns:dcterms="http://purl.org/dc/terms/" xmlns:xsi="http://www.w3.org/2001/XMLSchema-instance"/>
</file>