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xml" ContentType="application/vnd.openxmlformats-officedocument.wordprocessingml.header+xml"/>
  <Override PartName="/word/header-first.xml" ContentType="application/vnd.openxmlformats-officedocument.wordprocessingml.header+xml"/>
  <Override PartName="/word/footer.xml" ContentType="application/vnd.openxmlformats-officedocument.wordprocessingml.foot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Doc"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Readiness</w:t>
      </w:r>
    </w:p>
    <w:p>
      <w:pPr>
        <w:pStyle w:val="Heading2"/>
      </w:pPr>
      <w:r>
        <w:t xml:space="preserve">Harbour &amp; Pine — the support assistant, and what it may decide</w:t>
      </w:r>
    </w:p>
    <w:p>
      <w:r>
        <w:rPr>
          <w:b/>
        </w:rPr>
        <w:t xml:space="preserve">Harbour &amp; Pine</w:t>
      </w:r>
      <w:r>
        <w:t xml:space="preserve"> · extracted 2026-09-28 · revised 2026-09-24</w:t>
      </w:r>
    </w:p>
    <w:p>
      <w:r>
        <w:t xml:space="preserve">Every decision in the envelope, sorted by whether AI can be trusted with it: now, later with named steps, as a permanent assistant to a person, or never. Re-rendered after each session — compare two versions to see what moved. A value marked </w:t>
      </w:r>
      <w:r>
        <w:rPr>
          <w:i/>
        </w:rPr>
        <w:t xml:space="preserve">assumed</w:t>
      </w:r>
      <w:r>
        <w:t xml:space="preserve"> came from what organisations like this typically do, not from this one, and stays that way until the room corrects it or confirms it.</w:t>
      </w:r>
    </w:p>
    <w:p>
      <w:pPr>
        <w:pBdr>
          <w:bottom w:val="single" w:sz="6" w:space="1" w:color="auto"/>
        </w:pBdr>
      </w:pPr>
    </w:p>
    <w:p>
      <w:r>
        <w:rPr>
          <w:b/>
        </w:rPr>
        <w:t xml:space="preserve">None of the 20 decisions is a default for organisations like yours.</w:t>
      </w:r>
      <w:r>
        <w:t xml:space="preserve"> 6 were read from your own material or said in the room; 14 are confirmed by the accountable parties. Where a decision is open, what it proposes is still a proposal until you confirm it — that is true of 6 of them.</w:t>
      </w:r>
    </w:p>
    <w:tbl>
      <w:tblPr>
        <w:tblStyle w:val="SunholoTable"/>
        <w:tblW w:w="9298" w:type="dxa"/>
        <w:tblLayout w:type="fixed"/>
      </w:tblPr>
      <w:tblGrid>
        <w:gridCol w:w="1100"/>
        <w:gridCol w:w="2600"/>
        <w:gridCol w:w="1800"/>
        <w:gridCol w:w="1800"/>
        <w:gridCol w:w="1998"/>
      </w:tblGrid>
      <w:tr>
        <w:trPr>
          <w:cantSplit/>
          <w:tblHeader/>
        </w:trPr>
        <w:tc>
          <w:tcPr>
            <w:tcW w:w="1100" w:type="dxa"/>
          </w:tcPr>
          <w:p>
            <w:pPr>
              <w:jc w:val="center"/>
            </w:pPr>
            <w:r>
              <w:rPr>
                <w:b/>
              </w:rPr>
              <w:t xml:space="preserve">AI now</w:t>
            </w:r>
          </w:p>
        </w:tc>
        <w:tc>
          <w:tcPr>
            <w:tcW w:w="2600" w:type="dxa"/>
          </w:tcPr>
          <w:p>
            <w:pPr>
              <w:jc w:val="center"/>
            </w:pPr>
            <w:r>
              <w:rPr>
                <w:b/>
              </w:rPr>
              <w:t xml:space="preserve">Could be</w:t>
            </w:r>
          </w:p>
        </w:tc>
        <w:tc>
          <w:tcPr>
            <w:tcW w:w="1800" w:type="dxa"/>
          </w:tcPr>
          <w:p>
            <w:pPr>
              <w:jc w:val="center"/>
            </w:pPr>
            <w:r>
              <w:rPr>
                <w:b/>
              </w:rPr>
              <w:t xml:space="preserve">AI assists</w:t>
            </w:r>
          </w:p>
        </w:tc>
        <w:tc>
          <w:tcPr>
            <w:tcW w:w="1800" w:type="dxa"/>
          </w:tcPr>
          <w:p>
            <w:pPr>
              <w:jc w:val="center"/>
            </w:pPr>
            <w:r>
              <w:rPr>
                <w:b/>
              </w:rPr>
              <w:t xml:space="preserve">Never</w:t>
            </w:r>
          </w:p>
        </w:tc>
        <w:tc>
          <w:tcPr>
            <w:tcW w:w="1998" w:type="dxa"/>
          </w:tcPr>
          <w:p>
            <w:pPr>
              <w:jc w:val="center"/>
            </w:pPr>
            <w:r>
              <w:rPr>
                <w:b/>
              </w:rPr>
              <w:t xml:space="preserve">Not assessed</w:t>
            </w:r>
          </w:p>
        </w:tc>
      </w:tr>
      <w:tr>
        <w:trPr>
          <w:cantSplit/>
        </w:trPr>
        <w:tc>
          <w:tcPr>
            <w:tcW w:w="1100" w:type="dxa"/>
          </w:tcPr>
          <w:p>
            <w:r>
              <w:t xml:space="preserve">2</w:t>
            </w:r>
          </w:p>
        </w:tc>
        <w:tc>
          <w:tcPr>
            <w:tcW w:w="2600" w:type="dxa"/>
          </w:tcPr>
          <w:p>
            <w:r>
              <w:t xml:space="preserve">4</w:t>
            </w:r>
          </w:p>
        </w:tc>
        <w:tc>
          <w:tcPr>
            <w:tcW w:w="1800" w:type="dxa"/>
          </w:tcPr>
          <w:p>
            <w:r>
              <w:t xml:space="preserve">6</w:t>
            </w:r>
          </w:p>
        </w:tc>
        <w:tc>
          <w:tcPr>
            <w:tcW w:w="1800" w:type="dxa"/>
          </w:tcPr>
          <w:p>
            <w:r>
              <w:t xml:space="preserve">7</w:t>
            </w:r>
          </w:p>
        </w:tc>
        <w:tc>
          <w:tcPr>
            <w:tcW w:w="1998" w:type="dxa"/>
          </w:tcPr>
          <w:p>
            <w:r>
              <w:t xml:space="preserve">1</w:t>
            </w:r>
          </w:p>
        </w:tc>
      </w:tr>
    </w:tbl>
    <w:p>
      <w:r>
        <w:t xml:space="preserve">20 decisions. Rung basis — observed in the material: 8; assumed from the baseline: 0; confirmed by the accountable parties: 10; granted ahead of evidence: 1; </w:t>
      </w:r>
      <w:r>
        <w:rPr>
          <w:b/>
        </w:rPr>
        <w:t xml:space="preserve">no rung recorded, so no basis at all: 1</w:t>
      </w:r>
      <w:r>
        <w:t xml:space="preserve">. </w:t>
      </w:r>
      <w:r>
        <w:rPr>
          <w:b/>
        </w:rPr>
        <w:t xml:space="preserve">1 sit where they do on authority granted ahead of evidence — each names who, why and a review date.</w:t>
      </w:r>
      <w:r>
        <w:t xml:space="preserve"> </w:t>
      </w:r>
      <w:r>
        <w:rPr>
          <w:b/>
        </w:rPr>
        <w:t xml:space="preserve">1 of the unassessed are authority or timing decisions where the axis alone suggests no model score applies — that is a prior, not a finding, and none has been confirmed.</w:t>
      </w:r>
    </w:p>
    <w:p>
      <w:r>
        <w:rPr>
          <w:b/>
        </w:rPr>
        <w:t xml:space="preserve">Hours back: 8.0 h a week, about 34.6 h a month</w:t>
      </w:r>
      <w:r>
        <w:t xml:space="preserve"> — time spent today on decisions AI could take unattended, from 10 of 20 decisions with a volume. A further 9.5 h a week is spent on decisions AI would draft under a person; the share of that freed is unknown and is not added.</w:t>
      </w:r>
    </w:p>
    <w:p>
      <w:pPr>
        <w:pStyle w:val="Heading2"/>
      </w:pPr>
      <w:r>
        <w:t xml:space="preserve">What moved</w:t>
      </w:r>
    </w:p>
    <w:p>
      <w:r>
        <w:rPr>
          <w:b/>
        </w:rPr>
        <w:t xml:space="preserve">First render — nothing to compare against.</w:t>
      </w:r>
      <w:r>
        <w:t xml:space="preserve"> This state is recorded under a label beside these artefacts, and a render under the next label lists every decision that changed bucket, rung or status since it. That comparison is the point of re-rendering.</w:t>
      </w:r>
    </w:p>
    <w:p>
      <w:pPr>
        <w:pStyle w:val="Heading2"/>
      </w:pPr>
      <w:r>
        <w:t xml:space="preserve">AI does this now (2)</w:t>
      </w:r>
    </w:p>
    <w:p>
      <w:r>
        <w:t xml:space="preserve">Delegated, with a check that does not need a person each time. Where today reads </w:t>
      </w:r>
      <w:r>
        <w:rPr>
          <w:i/>
        </w:rPr>
        <w:t xml:space="preserve">proposing</w:t>
      </w:r>
      <w:r>
        <w:t xml:space="preserve">, a person approves before it counts; where it reads </w:t>
      </w:r>
      <w:r>
        <w:rPr>
          <w:i/>
        </w:rPr>
        <w:t xml:space="preserve">running</w:t>
      </w:r>
      <w:r>
        <w:t xml:space="preserve">, it is unattended inside stated limits.</w:t>
      </w:r>
    </w:p>
    <w:tbl>
      <w:tblPr>
        <w:tblStyle w:val="SunholoTable"/>
        <w:tblW w:w="9298" w:type="dxa"/>
        <w:tblLayout w:type="fixed"/>
      </w:tblPr>
      <w:tblGrid>
        <w:gridCol w:w="384"/>
        <w:gridCol w:w="2299"/>
        <w:gridCol w:w="384"/>
        <w:gridCol w:w="2299"/>
        <w:gridCol w:w="432"/>
        <w:gridCol w:w="671"/>
        <w:gridCol w:w="528"/>
        <w:gridCol w:w="2301"/>
      </w:tblGrid>
      <w:tr>
        <w:trPr>
          <w:tblHeader/>
        </w:trPr>
        <w:tc>
          <w:tcPr>
            <w:tcW w:w="384" w:type="dxa"/>
          </w:tcPr>
          <w:p>
            <w:pPr>
              <w:jc w:val="center"/>
            </w:pPr>
            <w:r>
              <w:rPr>
                <w:b/>
              </w:rPr>
              <w:t xml:space="preserve">Ref</w:t>
            </w:r>
          </w:p>
        </w:tc>
        <w:tc>
          <w:tcPr>
            <w:tcW w:w="2299" w:type="dxa"/>
          </w:tcPr>
          <w:p>
            <w:pPr>
              <w:jc w:val="center"/>
            </w:pPr>
            <w:r>
              <w:rPr>
                <w:b/>
              </w:rPr>
              <w:t xml:space="preserve">Decision</w:t>
            </w:r>
          </w:p>
        </w:tc>
        <w:tc>
          <w:tcPr>
            <w:tcW w:w="384" w:type="dxa"/>
          </w:tcPr>
          <w:p>
            <w:pPr>
              <w:jc w:val="center"/>
            </w:pPr>
            <w:r>
              <w:rPr>
                <w:b/>
              </w:rPr>
              <w:t xml:space="preserve">Axis</w:t>
            </w:r>
          </w:p>
        </w:tc>
        <w:tc>
          <w:tcPr>
            <w:tcW w:w="2299" w:type="dxa"/>
          </w:tcPr>
          <w:p>
            <w:pPr>
              <w:jc w:val="center"/>
            </w:pPr>
            <w:r>
              <w:rPr>
                <w:b/>
              </w:rPr>
              <w:t xml:space="preserve">Today</w:t>
            </w:r>
          </w:p>
        </w:tc>
        <w:tc>
          <w:tcPr>
            <w:tcW w:w="432" w:type="dxa"/>
          </w:tcPr>
          <w:p>
            <w:pPr>
              <w:jc w:val="center"/>
            </w:pPr>
            <w:r>
              <w:rPr>
                <w:b/>
              </w:rPr>
              <w:t xml:space="preserve">Ceiling</w:t>
            </w:r>
          </w:p>
        </w:tc>
        <w:tc>
          <w:tcPr>
            <w:tcW w:w="671" w:type="dxa"/>
          </w:tcPr>
          <w:p>
            <w:pPr>
              <w:jc w:val="center"/>
            </w:pPr>
            <w:r>
              <w:rPr>
                <w:b/>
              </w:rPr>
              <w:t xml:space="preserve">Oracle</w:t>
            </w:r>
          </w:p>
        </w:tc>
        <w:tc>
          <w:tcPr>
            <w:tcW w:w="528" w:type="dxa"/>
          </w:tcPr>
          <w:p>
            <w:pPr>
              <w:jc w:val="center"/>
            </w:pPr>
            <w:r>
              <w:rPr>
                <w:b/>
              </w:rPr>
              <w:t xml:space="preserve">Basis</w:t>
            </w:r>
          </w:p>
        </w:tc>
        <w:tc>
          <w:tcPr>
            <w:tcW w:w="2301" w:type="dxa"/>
          </w:tcPr>
          <w:p>
            <w:pPr>
              <w:jc w:val="center"/>
            </w:pPr>
            <w:r>
              <w:rPr>
                <w:b/>
              </w:rPr>
              <w:t xml:space="preserve">Route, or why not</w:t>
            </w:r>
          </w:p>
        </w:tc>
      </w:tr>
      <w:tr>
        <w:tc>
          <w:tcPr>
            <w:tcW w:w="384" w:type="dxa"/>
          </w:tcPr>
          <w:p>
            <w:r>
              <w:t xml:space="preserve">HP-002</w:t>
            </w:r>
          </w:p>
        </w:tc>
        <w:tc>
          <w:tcPr>
            <w:tcW w:w="2299" w:type="dxa"/>
          </w:tcPr>
          <w:p>
            <w:r>
              <w:t xml:space="preserve">What counts as the two records disagreeing</w:t>
            </w:r>
          </w:p>
        </w:tc>
        <w:tc>
          <w:tcPr>
            <w:tcW w:w="384" w:type="dxa"/>
          </w:tcPr>
          <w:p>
            <w:r>
              <w:t xml:space="preserve">meaning</w:t>
            </w:r>
          </w:p>
        </w:tc>
        <w:tc>
          <w:tcPr>
            <w:tcW w:w="2299" w:type="dxa"/>
          </w:tcPr>
          <w:p>
            <w:r>
              <w:t xml:space="preserve">proposing</w:t>
            </w:r>
          </w:p>
        </w:tc>
        <w:tc>
          <w:tcPr>
            <w:tcW w:w="432" w:type="dxa"/>
          </w:tcPr>
          <w:p>
            <w:r>
              <w:t xml:space="preserve">automated</w:t>
            </w:r>
          </w:p>
        </w:tc>
        <w:tc>
          <w:tcPr>
            <w:tcW w:w="671" w:type="dxa"/>
          </w:tcPr>
          <w:p>
            <w:r>
              <w:t xml:space="preserve">L3 immediate ⚙</w:t>
            </w:r>
          </w:p>
        </w:tc>
        <w:tc>
          <w:tcPr>
            <w:tcW w:w="528" w:type="dxa"/>
          </w:tcPr>
          <w:p>
            <w:r>
              <w:t xml:space="preserve">observed</w:t>
            </w:r>
          </w:p>
        </w:tc>
        <w:tc>
          <w:tcPr>
            <w:tcW w:w="2301" w:type="dxa"/>
          </w:tcPr>
          <w:p>
            <w:r>
              <w:t xml:space="preserve">route: Fifty verdicts in a row where Maya changed nothing.</w:t>
            </w:r>
          </w:p>
        </w:tc>
      </w:tr>
      <w:tr>
        <w:tc>
          <w:tcPr>
            <w:tcW w:w="384" w:type="dxa"/>
          </w:tcPr>
          <w:p>
            <w:r>
              <w:t xml:space="preserve">HP-006</w:t>
            </w:r>
          </w:p>
        </w:tc>
        <w:tc>
          <w:tcPr>
            <w:tcW w:w="2299" w:type="dxa"/>
          </w:tcPr>
          <w:p>
            <w:r>
              <w:t xml:space="preserve">What authenticates a customer and establishes order ownership</w:t>
            </w:r>
          </w:p>
        </w:tc>
        <w:tc>
          <w:tcPr>
            <w:tcW w:w="384" w:type="dxa"/>
          </w:tcPr>
          <w:p>
            <w:r>
              <w:t xml:space="preserve">meaning</w:t>
            </w:r>
          </w:p>
        </w:tc>
        <w:tc>
          <w:tcPr>
            <w:tcW w:w="2299" w:type="dxa"/>
          </w:tcPr>
          <w:p>
            <w:r>
              <w:t xml:space="preserve">automated ⟵ granted by Jon Bell — Operations owner, review 2026-11-11</w:t>
            </w:r>
          </w:p>
        </w:tc>
        <w:tc>
          <w:tcPr>
            <w:tcW w:w="432" w:type="dxa"/>
          </w:tcPr>
          <w:p>
            <w:r>
              <w:t xml:space="preserve">automated</w:t>
            </w:r>
          </w:p>
        </w:tc>
        <w:tc>
          <w:tcPr>
            <w:tcW w:w="671" w:type="dxa"/>
          </w:tcPr>
          <w:p>
            <w:r>
              <w:t xml:space="preserve">L3 immediate ⚙</w:t>
            </w:r>
          </w:p>
        </w:tc>
        <w:tc>
          <w:tcPr>
            <w:tcW w:w="528" w:type="dxa"/>
          </w:tcPr>
          <w:p>
            <w:r>
              <w:rPr>
                <w:b/>
              </w:rPr>
              <w:t xml:space="preserve">granted</w:t>
            </w:r>
          </w:p>
        </w:tc>
        <w:tc>
          <w:tcPr>
            <w:tcW w:w="2301" w:type="dxa"/>
          </w:tcPr>
          <w:p>
            <w:r>
              <w:t xml:space="preserve">—</w:t>
            </w:r>
          </w:p>
        </w:tc>
      </w:tr>
    </w:tbl>
    <w:p>
      <w:pPr>
        <w:pStyle w:val="Heading2"/>
      </w:pPr>
      <w:r>
        <w:t xml:space="preserve">AI could — with named steps (4)</w:t>
      </w:r>
    </w:p>
    <w:p>
      <w:r>
        <w:t xml:space="preserve">Bounded work with a route up the ladder. The last column is the evidence that would move it, or what is blocking it. This bucket is where the build sequence comes from.</w:t>
      </w:r>
    </w:p>
    <w:tbl>
      <w:tblPr>
        <w:tblStyle w:val="SunholoTable"/>
        <w:tblW w:w="9298" w:type="dxa"/>
        <w:tblLayout w:type="fixed"/>
      </w:tblPr>
      <w:tblGrid>
        <w:gridCol w:w="477"/>
        <w:gridCol w:w="2859"/>
        <w:gridCol w:w="537"/>
        <w:gridCol w:w="715"/>
        <w:gridCol w:w="537"/>
        <w:gridCol w:w="835"/>
        <w:gridCol w:w="477"/>
        <w:gridCol w:w="2861"/>
      </w:tblGrid>
      <w:tr>
        <w:trPr>
          <w:tblHeader/>
        </w:trPr>
        <w:tc>
          <w:tcPr>
            <w:tcW w:w="477" w:type="dxa"/>
          </w:tcPr>
          <w:p>
            <w:pPr>
              <w:jc w:val="center"/>
            </w:pPr>
            <w:r>
              <w:rPr>
                <w:b/>
              </w:rPr>
              <w:t xml:space="preserve">Ref</w:t>
            </w:r>
          </w:p>
        </w:tc>
        <w:tc>
          <w:tcPr>
            <w:tcW w:w="2859" w:type="dxa"/>
          </w:tcPr>
          <w:p>
            <w:pPr>
              <w:jc w:val="center"/>
            </w:pPr>
            <w:r>
              <w:rPr>
                <w:b/>
              </w:rPr>
              <w:t xml:space="preserve">Decision</w:t>
            </w:r>
          </w:p>
        </w:tc>
        <w:tc>
          <w:tcPr>
            <w:tcW w:w="537" w:type="dxa"/>
          </w:tcPr>
          <w:p>
            <w:pPr>
              <w:jc w:val="center"/>
            </w:pPr>
            <w:r>
              <w:rPr>
                <w:b/>
              </w:rPr>
              <w:t xml:space="preserve">Axis</w:t>
            </w:r>
          </w:p>
        </w:tc>
        <w:tc>
          <w:tcPr>
            <w:tcW w:w="715" w:type="dxa"/>
          </w:tcPr>
          <w:p>
            <w:pPr>
              <w:jc w:val="center"/>
            </w:pPr>
            <w:r>
              <w:rPr>
                <w:b/>
              </w:rPr>
              <w:t xml:space="preserve">Today</w:t>
            </w:r>
          </w:p>
        </w:tc>
        <w:tc>
          <w:tcPr>
            <w:tcW w:w="537" w:type="dxa"/>
          </w:tcPr>
          <w:p>
            <w:pPr>
              <w:jc w:val="center"/>
            </w:pPr>
            <w:r>
              <w:rPr>
                <w:b/>
              </w:rPr>
              <w:t xml:space="preserve">Ceiling</w:t>
            </w:r>
          </w:p>
        </w:tc>
        <w:tc>
          <w:tcPr>
            <w:tcW w:w="835" w:type="dxa"/>
          </w:tcPr>
          <w:p>
            <w:pPr>
              <w:jc w:val="center"/>
            </w:pPr>
            <w:r>
              <w:rPr>
                <w:b/>
              </w:rPr>
              <w:t xml:space="preserve">Oracle</w:t>
            </w:r>
          </w:p>
        </w:tc>
        <w:tc>
          <w:tcPr>
            <w:tcW w:w="477" w:type="dxa"/>
          </w:tcPr>
          <w:p>
            <w:pPr>
              <w:jc w:val="center"/>
            </w:pPr>
            <w:r>
              <w:rPr>
                <w:b/>
              </w:rPr>
              <w:t xml:space="preserve">Basis</w:t>
            </w:r>
          </w:p>
        </w:tc>
        <w:tc>
          <w:tcPr>
            <w:tcW w:w="2861" w:type="dxa"/>
          </w:tcPr>
          <w:p>
            <w:pPr>
              <w:jc w:val="center"/>
            </w:pPr>
            <w:r>
              <w:rPr>
                <w:b/>
              </w:rPr>
              <w:t xml:space="preserve">Route, or why not</w:t>
            </w:r>
          </w:p>
        </w:tc>
      </w:tr>
      <w:tr>
        <w:tc>
          <w:tcPr>
            <w:tcW w:w="477" w:type="dxa"/>
          </w:tcPr>
          <w:p>
            <w:r>
              <w:t xml:space="preserve">HP-001</w:t>
            </w:r>
          </w:p>
        </w:tc>
        <w:tc>
          <w:tcPr>
            <w:tcW w:w="2859" w:type="dxa"/>
          </w:tcPr>
          <w:p>
            <w:r>
              <w:t xml:space="preserve">Which record is authoritative for which fact</w:t>
            </w:r>
          </w:p>
        </w:tc>
        <w:tc>
          <w:tcPr>
            <w:tcW w:w="537" w:type="dxa"/>
          </w:tcPr>
          <w:p>
            <w:r>
              <w:t xml:space="preserve">meaning</w:t>
            </w:r>
          </w:p>
        </w:tc>
        <w:tc>
          <w:tcPr>
            <w:tcW w:w="715" w:type="dxa"/>
          </w:tcPr>
          <w:p>
            <w:r>
              <w:t xml:space="preserve">shadow</w:t>
            </w:r>
          </w:p>
        </w:tc>
        <w:tc>
          <w:tcPr>
            <w:tcW w:w="537" w:type="dxa"/>
          </w:tcPr>
          <w:p>
            <w:r>
              <w:t xml:space="preserve">automated</w:t>
            </w:r>
          </w:p>
        </w:tc>
        <w:tc>
          <w:tcPr>
            <w:tcW w:w="835" w:type="dxa"/>
          </w:tcPr>
          <w:p>
            <w:r>
              <w:t xml:space="preserve">L3 immediate ⚙</w:t>
            </w:r>
          </w:p>
        </w:tc>
        <w:tc>
          <w:tcPr>
            <w:tcW w:w="477" w:type="dxa"/>
          </w:tcPr>
          <w:p>
            <w:r>
              <w:t xml:space="preserve">observed</w:t>
            </w:r>
          </w:p>
        </w:tc>
        <w:tc>
          <w:tcPr>
            <w:tcW w:w="2861" w:type="dxa"/>
          </w:tcPr>
          <w:p>
            <w:r>
              <w:t xml:space="preserve">route: Two hundred past enquiries replayed with the record each answer was drawn from logged, and no case in which the wrong record was consulted.</w:t>
            </w:r>
          </w:p>
        </w:tc>
      </w:tr>
      <w:tr>
        <w:tc>
          <w:tcPr>
            <w:tcW w:w="477" w:type="dxa"/>
          </w:tcPr>
          <w:p>
            <w:r>
              <w:t xml:space="preserve">HP-004</w:t>
            </w:r>
          </w:p>
        </w:tc>
        <w:tc>
          <w:tcPr>
            <w:tcW w:w="2859" w:type="dxa"/>
          </w:tcPr>
          <w:p>
            <w:r>
              <w:t xml:space="preserve">Whether the assistant may send a status-only reply without a person seeing it</w:t>
            </w:r>
          </w:p>
        </w:tc>
        <w:tc>
          <w:tcPr>
            <w:tcW w:w="537" w:type="dxa"/>
          </w:tcPr>
          <w:p>
            <w:r>
              <w:t xml:space="preserve">behaviour</w:t>
            </w:r>
          </w:p>
        </w:tc>
        <w:tc>
          <w:tcPr>
            <w:tcW w:w="715" w:type="dxa"/>
          </w:tcPr>
          <w:p>
            <w:r>
              <w:t xml:space="preserve">shadow</w:t>
            </w:r>
          </w:p>
        </w:tc>
        <w:tc>
          <w:tcPr>
            <w:tcW w:w="537" w:type="dxa"/>
          </w:tcPr>
          <w:p>
            <w:r>
              <w:t xml:space="preserve">automated</w:t>
            </w:r>
          </w:p>
        </w:tc>
        <w:tc>
          <w:tcPr>
            <w:tcW w:w="835" w:type="dxa"/>
          </w:tcPr>
          <w:p>
            <w:r>
              <w:t xml:space="preserve">L2 delayed</w:t>
            </w:r>
          </w:p>
        </w:tc>
        <w:tc>
          <w:tcPr>
            <w:tcW w:w="477" w:type="dxa"/>
          </w:tcPr>
          <w:p>
            <w:r>
              <w:t xml:space="preserve">observed</w:t>
            </w:r>
          </w:p>
        </w:tc>
        <w:tc>
          <w:tcPr>
            <w:tcW w:w="2861" w:type="dxa"/>
          </w:tcPr>
          <w:p>
            <w:r>
              <w:t xml:space="preserve">route: A shadow run in which the assistant drafts and sends nothing, each draft stored beside the reply the person sent, agreeing on status and on what was not claimed across four hundred enquiries with fewer than four factual differences.</w:t>
            </w:r>
          </w:p>
        </w:tc>
      </w:tr>
      <w:tr>
        <w:tc>
          <w:tcPr>
            <w:tcW w:w="477" w:type="dxa"/>
          </w:tcPr>
          <w:p>
            <w:r>
              <w:t xml:space="preserve">HP-011</w:t>
            </w:r>
          </w:p>
        </w:tc>
        <w:tc>
          <w:tcPr>
            <w:tcW w:w="2859" w:type="dxa"/>
          </w:tcPr>
          <w:p>
            <w:r>
              <w:t xml:space="preserve">When the handover clock starts</w:t>
            </w:r>
          </w:p>
        </w:tc>
        <w:tc>
          <w:tcPr>
            <w:tcW w:w="537" w:type="dxa"/>
          </w:tcPr>
          <w:p>
            <w:r>
              <w:t xml:space="preserve">meaning</w:t>
            </w:r>
          </w:p>
        </w:tc>
        <w:tc>
          <w:tcPr>
            <w:tcW w:w="715" w:type="dxa"/>
          </w:tcPr>
          <w:p>
            <w:r>
              <w:t xml:space="preserve">instrumented</w:t>
            </w:r>
          </w:p>
        </w:tc>
        <w:tc>
          <w:tcPr>
            <w:tcW w:w="537" w:type="dxa"/>
          </w:tcPr>
          <w:p>
            <w:r>
              <w:t xml:space="preserve">automated</w:t>
            </w:r>
          </w:p>
        </w:tc>
        <w:tc>
          <w:tcPr>
            <w:tcW w:w="835" w:type="dxa"/>
          </w:tcPr>
          <w:p>
            <w:r>
              <w:t xml:space="preserve">L3 immediate ⚙</w:t>
            </w:r>
          </w:p>
        </w:tc>
        <w:tc>
          <w:tcPr>
            <w:tcW w:w="477" w:type="dxa"/>
          </w:tcPr>
          <w:p>
            <w:r>
              <w:t xml:space="preserve">observed</w:t>
            </w:r>
          </w:p>
        </w:tc>
        <w:tc>
          <w:tcPr>
            <w:tcW w:w="2861" w:type="dxa"/>
          </w:tcPr>
          <w:p>
            <w:r>
              <w:t xml:space="preserve">route: The arrival event emitted as a timestamp on every handover for a month, with no handover missing one.</w:t>
            </w:r>
          </w:p>
        </w:tc>
      </w:tr>
      <w:tr>
        <w:tc>
          <w:tcPr>
            <w:tcW w:w="477" w:type="dxa"/>
          </w:tcPr>
          <w:p>
            <w:r>
              <w:t xml:space="preserve">HP-016</w:t>
            </w:r>
          </w:p>
        </w:tc>
        <w:tc>
          <w:tcPr>
            <w:tcW w:w="2859" w:type="dxa"/>
          </w:tcPr>
          <w:p>
            <w:r>
              <w:t xml:space="preserve">What is recorded for each exchange, and how the four records link</w:t>
            </w:r>
          </w:p>
        </w:tc>
        <w:tc>
          <w:tcPr>
            <w:tcW w:w="537" w:type="dxa"/>
          </w:tcPr>
          <w:p>
            <w:r>
              <w:t xml:space="preserve">evidence</w:t>
            </w:r>
          </w:p>
        </w:tc>
        <w:tc>
          <w:tcPr>
            <w:tcW w:w="715" w:type="dxa"/>
          </w:tcPr>
          <w:p>
            <w:r>
              <w:t xml:space="preserve">instrumented</w:t>
            </w:r>
          </w:p>
        </w:tc>
        <w:tc>
          <w:tcPr>
            <w:tcW w:w="537" w:type="dxa"/>
          </w:tcPr>
          <w:p>
            <w:r>
              <w:t xml:space="preserve">automated</w:t>
            </w:r>
          </w:p>
        </w:tc>
        <w:tc>
          <w:tcPr>
            <w:tcW w:w="835" w:type="dxa"/>
          </w:tcPr>
          <w:p>
            <w:r>
              <w:t xml:space="preserve">L3 immediate ⚙</w:t>
            </w:r>
          </w:p>
        </w:tc>
        <w:tc>
          <w:tcPr>
            <w:tcW w:w="477" w:type="dxa"/>
          </w:tcPr>
          <w:p>
            <w:r>
              <w:t xml:space="preserve">observed</w:t>
            </w:r>
          </w:p>
        </w:tc>
        <w:tc>
          <w:tcPr>
            <w:tcW w:w="2861" w:type="dxa"/>
          </w:tcPr>
          <w:p>
            <w:r>
              <w:t xml:space="preserve">route: The four records emitted and linked for every exchange over a full week.</w:t>
            </w:r>
          </w:p>
        </w:tc>
      </w:tr>
    </w:tbl>
    <w:p>
      <w:pPr>
        <w:pStyle w:val="Heading2"/>
      </w:pPr>
      <w:r>
        <w:t xml:space="preserve">AI assists, a person decides (6)</w:t>
      </w:r>
    </w:p>
    <w:p>
      <w:r>
        <w:t xml:space="preserve">Judgement work — the system proposes, a person decides. Rows marked </w:t>
      </w:r>
      <w:r>
        <w:rPr>
          <w:i/>
        </w:rPr>
        <w:t xml:space="preserve">by design</w:t>
      </w:r>
      <w:r>
        <w:t xml:space="preserve"> stay here permanently; that is the destination for unbounded tasks and where freed time goes. Rows marked </w:t>
      </w:r>
      <w:r>
        <w:rPr>
          <w:i/>
        </w:rPr>
        <w:t xml:space="preserve">route:</w:t>
      </w:r>
      <w:r>
        <w:t xml:space="preserve"> are here only until the named specification work is done, and then move up.</w:t>
      </w:r>
    </w:p>
    <w:tbl>
      <w:tblPr>
        <w:tblStyle w:val="SunholoTable"/>
        <w:tblW w:w="9298" w:type="dxa"/>
        <w:tblLayout w:type="fixed"/>
      </w:tblPr>
      <w:tblGrid>
        <w:gridCol w:w="474"/>
        <w:gridCol w:w="2841"/>
        <w:gridCol w:w="533"/>
        <w:gridCol w:w="711"/>
        <w:gridCol w:w="533"/>
        <w:gridCol w:w="592"/>
        <w:gridCol w:w="770"/>
        <w:gridCol w:w="2844"/>
      </w:tblGrid>
      <w:tr>
        <w:trPr>
          <w:tblHeader/>
        </w:trPr>
        <w:tc>
          <w:tcPr>
            <w:tcW w:w="474" w:type="dxa"/>
          </w:tcPr>
          <w:p>
            <w:pPr>
              <w:jc w:val="center"/>
            </w:pPr>
            <w:r>
              <w:rPr>
                <w:b/>
              </w:rPr>
              <w:t xml:space="preserve">Ref</w:t>
            </w:r>
          </w:p>
        </w:tc>
        <w:tc>
          <w:tcPr>
            <w:tcW w:w="2841" w:type="dxa"/>
          </w:tcPr>
          <w:p>
            <w:pPr>
              <w:jc w:val="center"/>
            </w:pPr>
            <w:r>
              <w:rPr>
                <w:b/>
              </w:rPr>
              <w:t xml:space="preserve">Decision</w:t>
            </w:r>
          </w:p>
        </w:tc>
        <w:tc>
          <w:tcPr>
            <w:tcW w:w="533" w:type="dxa"/>
          </w:tcPr>
          <w:p>
            <w:pPr>
              <w:jc w:val="center"/>
            </w:pPr>
            <w:r>
              <w:rPr>
                <w:b/>
              </w:rPr>
              <w:t xml:space="preserve">Axis</w:t>
            </w:r>
          </w:p>
        </w:tc>
        <w:tc>
          <w:tcPr>
            <w:tcW w:w="711" w:type="dxa"/>
          </w:tcPr>
          <w:p>
            <w:pPr>
              <w:jc w:val="center"/>
            </w:pPr>
            <w:r>
              <w:rPr>
                <w:b/>
              </w:rPr>
              <w:t xml:space="preserve">Today</w:t>
            </w:r>
          </w:p>
        </w:tc>
        <w:tc>
          <w:tcPr>
            <w:tcW w:w="533" w:type="dxa"/>
          </w:tcPr>
          <w:p>
            <w:pPr>
              <w:jc w:val="center"/>
            </w:pPr>
            <w:r>
              <w:rPr>
                <w:b/>
              </w:rPr>
              <w:t xml:space="preserve">Ceiling</w:t>
            </w:r>
          </w:p>
        </w:tc>
        <w:tc>
          <w:tcPr>
            <w:tcW w:w="592" w:type="dxa"/>
          </w:tcPr>
          <w:p>
            <w:pPr>
              <w:jc w:val="center"/>
            </w:pPr>
            <w:r>
              <w:rPr>
                <w:b/>
              </w:rPr>
              <w:t xml:space="preserve">Oracle</w:t>
            </w:r>
          </w:p>
        </w:tc>
        <w:tc>
          <w:tcPr>
            <w:tcW w:w="770" w:type="dxa"/>
          </w:tcPr>
          <w:p>
            <w:pPr>
              <w:jc w:val="center"/>
            </w:pPr>
            <w:r>
              <w:rPr>
                <w:b/>
              </w:rPr>
              <w:t xml:space="preserve">Basis</w:t>
            </w:r>
          </w:p>
        </w:tc>
        <w:tc>
          <w:tcPr>
            <w:tcW w:w="2844" w:type="dxa"/>
          </w:tcPr>
          <w:p>
            <w:pPr>
              <w:jc w:val="center"/>
            </w:pPr>
            <w:r>
              <w:rPr>
                <w:b/>
              </w:rPr>
              <w:t xml:space="preserve">Route, or why not</w:t>
            </w:r>
          </w:p>
        </w:tc>
      </w:tr>
      <w:tr>
        <w:tc>
          <w:tcPr>
            <w:tcW w:w="474" w:type="dxa"/>
          </w:tcPr>
          <w:p>
            <w:r>
              <w:t xml:space="preserve">HP-003</w:t>
            </w:r>
          </w:p>
        </w:tc>
        <w:tc>
          <w:tcPr>
            <w:tcW w:w="2841" w:type="dxa"/>
          </w:tcPr>
          <w:p>
            <w:r>
              <w:t xml:space="preserve">What staff do when the records disagree</w:t>
            </w:r>
          </w:p>
        </w:tc>
        <w:tc>
          <w:tcPr>
            <w:tcW w:w="533" w:type="dxa"/>
          </w:tcPr>
          <w:p>
            <w:r>
              <w:t xml:space="preserve">judgement</w:t>
            </w:r>
          </w:p>
        </w:tc>
        <w:tc>
          <w:tcPr>
            <w:tcW w:w="711" w:type="dxa"/>
          </w:tcPr>
          <w:p>
            <w:r>
              <w:t xml:space="preserve">held</w:t>
            </w:r>
          </w:p>
        </w:tc>
        <w:tc>
          <w:tcPr>
            <w:tcW w:w="533" w:type="dxa"/>
          </w:tcPr>
          <w:p>
            <w:r>
              <w:t xml:space="preserve">proposing</w:t>
            </w:r>
          </w:p>
        </w:tc>
        <w:tc>
          <w:tcPr>
            <w:tcW w:w="592" w:type="dxa"/>
          </w:tcPr>
          <w:p>
            <w:r>
              <w:t xml:space="preserve">L0 none</w:t>
            </w:r>
          </w:p>
        </w:tc>
        <w:tc>
          <w:tcPr>
            <w:tcW w:w="770" w:type="dxa"/>
          </w:tcPr>
          <w:p>
            <w:r>
              <w:rPr>
                <w:b/>
              </w:rPr>
              <w:t xml:space="preserve">confirmed</w:t>
            </w:r>
          </w:p>
        </w:tc>
        <w:tc>
          <w:tcPr>
            <w:tcW w:w="2844" w:type="dxa"/>
          </w:tcPr>
          <w:p>
            <w:r>
              <w:t xml:space="preserve">route: Fifty investigations logged with the explanation a person reached, and a proposed explanation beside it that matched in forty.</w:t>
            </w:r>
          </w:p>
        </w:tc>
      </w:tr>
      <w:tr>
        <w:tc>
          <w:tcPr>
            <w:tcW w:w="474" w:type="dxa"/>
          </w:tcPr>
          <w:p>
            <w:r>
              <w:t xml:space="preserve">HP-005</w:t>
            </w:r>
          </w:p>
        </w:tc>
        <w:tc>
          <w:tcPr>
            <w:tcW w:w="2841" w:type="dxa"/>
          </w:tcPr>
          <w:p>
            <w:r>
              <w:t xml:space="preserve">Where reporting status ends and promising an outcome begins</w:t>
            </w:r>
          </w:p>
        </w:tc>
        <w:tc>
          <w:tcPr>
            <w:tcW w:w="533" w:type="dxa"/>
          </w:tcPr>
          <w:p>
            <w:r>
              <w:t xml:space="preserve">meaning</w:t>
            </w:r>
          </w:p>
        </w:tc>
        <w:tc>
          <w:tcPr>
            <w:tcW w:w="711" w:type="dxa"/>
          </w:tcPr>
          <w:p>
            <w:r>
              <w:t xml:space="preserve">instrumented</w:t>
            </w:r>
          </w:p>
        </w:tc>
        <w:tc>
          <w:tcPr>
            <w:tcW w:w="533" w:type="dxa"/>
          </w:tcPr>
          <w:p>
            <w:r>
              <w:t xml:space="preserve">proposing</w:t>
            </w:r>
          </w:p>
        </w:tc>
        <w:tc>
          <w:tcPr>
            <w:tcW w:w="592" w:type="dxa"/>
          </w:tcPr>
          <w:p>
            <w:r>
              <w:t xml:space="preserve">L1 seeded</w:t>
            </w:r>
          </w:p>
        </w:tc>
        <w:tc>
          <w:tcPr>
            <w:tcW w:w="770" w:type="dxa"/>
          </w:tcPr>
          <w:p>
            <w:r>
              <w:rPr>
                <w:b/>
              </w:rPr>
              <w:t xml:space="preserve">confirmed</w:t>
            </w:r>
          </w:p>
        </w:tc>
        <w:tc>
          <w:tcPr>
            <w:tcW w:w="2844" w:type="dxa"/>
          </w:tcPr>
          <w:p>
            <w:r>
              <w:t xml:space="preserve">route: Twenty past replies classified against the list by two people independently, disagreeing on no more than one.</w:t>
            </w:r>
          </w:p>
        </w:tc>
      </w:tr>
      <w:tr>
        <w:tc>
          <w:tcPr>
            <w:tcW w:w="474" w:type="dxa"/>
          </w:tcPr>
          <w:p>
            <w:r>
              <w:t xml:space="preserve">HP-009</w:t>
            </w:r>
          </w:p>
        </w:tc>
        <w:tc>
          <w:tcPr>
            <w:tcW w:w="2841" w:type="dxa"/>
          </w:tcPr>
          <w:p>
            <w:r>
              <w:t xml:space="preserve">Whether the assistant may prepare a refund or address change for a person to execute</w:t>
            </w:r>
          </w:p>
        </w:tc>
        <w:tc>
          <w:tcPr>
            <w:tcW w:w="533" w:type="dxa"/>
          </w:tcPr>
          <w:p>
            <w:r>
              <w:t xml:space="preserve">behaviour</w:t>
            </w:r>
          </w:p>
        </w:tc>
        <w:tc>
          <w:tcPr>
            <w:tcW w:w="711" w:type="dxa"/>
          </w:tcPr>
          <w:p>
            <w:r>
              <w:t xml:space="preserve">held</w:t>
            </w:r>
          </w:p>
        </w:tc>
        <w:tc>
          <w:tcPr>
            <w:tcW w:w="533" w:type="dxa"/>
          </w:tcPr>
          <w:p>
            <w:r>
              <w:t xml:space="preserve">proposing</w:t>
            </w:r>
          </w:p>
        </w:tc>
        <w:tc>
          <w:tcPr>
            <w:tcW w:w="592" w:type="dxa"/>
          </w:tcPr>
          <w:p>
            <w:r>
              <w:t xml:space="preserve">L0 none</w:t>
            </w:r>
          </w:p>
        </w:tc>
        <w:tc>
          <w:tcPr>
            <w:tcW w:w="770" w:type="dxa"/>
          </w:tcPr>
          <w:p>
            <w:r>
              <w:t xml:space="preserve">observed</w:t>
            </w:r>
          </w:p>
        </w:tc>
        <w:tc>
          <w:tcPr>
            <w:tcW w:w="2844" w:type="dxa"/>
          </w:tcPr>
          <w:p>
            <w:r>
              <w:t xml:space="preserve">route: Fifty prepared actions logged beside what Maya actually did, with the cases she changed categorised rather than counted.</w:t>
            </w:r>
          </w:p>
        </w:tc>
      </w:tr>
      <w:tr>
        <w:tc>
          <w:tcPr>
            <w:tcW w:w="474" w:type="dxa"/>
          </w:tcPr>
          <w:p>
            <w:r>
              <w:t xml:space="preserve">HP-013</w:t>
            </w:r>
          </w:p>
        </w:tc>
        <w:tc>
          <w:tcPr>
            <w:tcW w:w="2841" w:type="dxa"/>
          </w:tcPr>
          <w:p>
            <w:r>
              <w:t xml:space="preserve">What counts as a correct reply</w:t>
            </w:r>
          </w:p>
        </w:tc>
        <w:tc>
          <w:tcPr>
            <w:tcW w:w="533" w:type="dxa"/>
          </w:tcPr>
          <w:p>
            <w:r>
              <w:t xml:space="preserve">meaning</w:t>
            </w:r>
          </w:p>
        </w:tc>
        <w:tc>
          <w:tcPr>
            <w:tcW w:w="711" w:type="dxa"/>
          </w:tcPr>
          <w:p>
            <w:r>
              <w:t xml:space="preserve">held</w:t>
            </w:r>
          </w:p>
        </w:tc>
        <w:tc>
          <w:tcPr>
            <w:tcW w:w="533" w:type="dxa"/>
          </w:tcPr>
          <w:p>
            <w:r>
              <w:t xml:space="preserve">proposing</w:t>
            </w:r>
          </w:p>
        </w:tc>
        <w:tc>
          <w:tcPr>
            <w:tcW w:w="592" w:type="dxa"/>
          </w:tcPr>
          <w:p>
            <w:r>
              <w:t xml:space="preserve">L0 none</w:t>
            </w:r>
          </w:p>
        </w:tc>
        <w:tc>
          <w:tcPr>
            <w:tcW w:w="770" w:type="dxa"/>
          </w:tcPr>
          <w:p>
            <w:r>
              <w:t xml:space="preserve">observed</w:t>
            </w:r>
          </w:p>
        </w:tc>
        <w:tc>
          <w:tcPr>
            <w:tcW w:w="2844" w:type="dxa"/>
          </w:tcPr>
          <w:p>
            <w:r>
              <w:t xml:space="preserve">route: A written standard separating factual claims from judgement, and a hundred past replies labelled against it by two people.</w:t>
            </w:r>
          </w:p>
        </w:tc>
      </w:tr>
      <w:tr>
        <w:tc>
          <w:tcPr>
            <w:tcW w:w="474" w:type="dxa"/>
          </w:tcPr>
          <w:p>
            <w:r>
              <w:t xml:space="preserve">HP-014</w:t>
            </w:r>
          </w:p>
        </w:tc>
        <w:tc>
          <w:tcPr>
            <w:tcW w:w="2841" w:type="dxa"/>
          </w:tcPr>
          <w:p>
            <w:r>
              <w:t xml:space="preserve">The evaluation set, and what it must be representative of</w:t>
            </w:r>
          </w:p>
        </w:tc>
        <w:tc>
          <w:tcPr>
            <w:tcW w:w="533" w:type="dxa"/>
          </w:tcPr>
          <w:p>
            <w:r>
              <w:t xml:space="preserve">evidence</w:t>
            </w:r>
          </w:p>
        </w:tc>
        <w:tc>
          <w:tcPr>
            <w:tcW w:w="711" w:type="dxa"/>
          </w:tcPr>
          <w:p>
            <w:r>
              <w:t xml:space="preserve">held</w:t>
            </w:r>
          </w:p>
        </w:tc>
        <w:tc>
          <w:tcPr>
            <w:tcW w:w="533" w:type="dxa"/>
          </w:tcPr>
          <w:p>
            <w:r>
              <w:t xml:space="preserve">proposing</w:t>
            </w:r>
          </w:p>
        </w:tc>
        <w:tc>
          <w:tcPr>
            <w:tcW w:w="592" w:type="dxa"/>
          </w:tcPr>
          <w:p>
            <w:r>
              <w:t xml:space="preserve">L1 seeded</w:t>
            </w:r>
          </w:p>
        </w:tc>
        <w:tc>
          <w:tcPr>
            <w:tcW w:w="770" w:type="dxa"/>
          </w:tcPr>
          <w:p>
            <w:r>
              <w:rPr>
                <w:b/>
              </w:rPr>
              <w:t xml:space="preserve">confirmed</w:t>
            </w:r>
          </w:p>
        </w:tc>
        <w:tc>
          <w:tcPr>
            <w:tcW w:w="2844" w:type="dxa"/>
          </w:tcPr>
          <w:p>
            <w:r>
              <w:t xml:space="preserve">route: A drawn sample approved by Maya without amendment, two seasons running.</w:t>
            </w:r>
          </w:p>
        </w:tc>
      </w:tr>
      <w:tr>
        <w:tc>
          <w:tcPr>
            <w:tcW w:w="474" w:type="dxa"/>
          </w:tcPr>
          <w:p>
            <w:r>
              <w:t xml:space="preserve">HP-017</w:t>
            </w:r>
          </w:p>
        </w:tc>
        <w:tc>
          <w:tcPr>
            <w:tcW w:w="2841" w:type="dxa"/>
          </w:tcPr>
          <w:p>
            <w:r>
              <w:t xml:space="preserve">Whether the assistant may draft replies for Maya to send</w:t>
            </w:r>
          </w:p>
        </w:tc>
        <w:tc>
          <w:tcPr>
            <w:tcW w:w="533" w:type="dxa"/>
          </w:tcPr>
          <w:p>
            <w:r>
              <w:t xml:space="preserve">behaviour</w:t>
            </w:r>
          </w:p>
        </w:tc>
        <w:tc>
          <w:tcPr>
            <w:tcW w:w="711" w:type="dxa"/>
          </w:tcPr>
          <w:p>
            <w:r>
              <w:t xml:space="preserve">held</w:t>
            </w:r>
          </w:p>
        </w:tc>
        <w:tc>
          <w:tcPr>
            <w:tcW w:w="533" w:type="dxa"/>
          </w:tcPr>
          <w:p>
            <w:r>
              <w:t xml:space="preserve">proposing</w:t>
            </w:r>
          </w:p>
        </w:tc>
        <w:tc>
          <w:tcPr>
            <w:tcW w:w="592" w:type="dxa"/>
          </w:tcPr>
          <w:p>
            <w:r>
              <w:t xml:space="preserve">L2 delayed</w:t>
            </w:r>
          </w:p>
        </w:tc>
        <w:tc>
          <w:tcPr>
            <w:tcW w:w="770" w:type="dxa"/>
          </w:tcPr>
          <w:p>
            <w:r>
              <w:t xml:space="preserve">observed</w:t>
            </w:r>
          </w:p>
        </w:tc>
        <w:tc>
          <w:tcPr>
            <w:tcW w:w="2844" w:type="dxa"/>
          </w:tcPr>
          <w:p>
            <w:r>
              <w:t xml:space="preserve">demoted from proposing · route: HP-005's list in force, and a hundred drafts in shadow with no claim outside it and fewer than five factual differences from what Maya sent.</w:t>
            </w:r>
          </w:p>
        </w:tc>
      </w:tr>
    </w:tbl>
    <w:p>
      <w:pPr>
        <w:pStyle w:val="Heading2"/>
      </w:pPr>
      <w:r>
        <w:t xml:space="preserve">Not AI work (7)</w:t>
      </w:r>
    </w:p>
    <w:p>
      <w:r>
        <w:t xml:space="preserve">Held deliberately, or not a capability question at all. Who is accountable and when a contract is signed do not change with any model score. Naming these is what makes the rest of the page agreeable.</w:t>
      </w:r>
    </w:p>
    <w:tbl>
      <w:tblPr>
        <w:tblStyle w:val="SunholoTable"/>
        <w:tblW w:w="9298" w:type="dxa"/>
        <w:tblLayout w:type="fixed"/>
      </w:tblPr>
      <w:tblGrid>
        <w:gridCol w:w="477"/>
        <w:gridCol w:w="2859"/>
        <w:gridCol w:w="537"/>
        <w:gridCol w:w="477"/>
        <w:gridCol w:w="477"/>
        <w:gridCol w:w="835"/>
        <w:gridCol w:w="775"/>
        <w:gridCol w:w="2861"/>
      </w:tblGrid>
      <w:tr>
        <w:trPr>
          <w:tblHeader/>
        </w:trPr>
        <w:tc>
          <w:tcPr>
            <w:tcW w:w="477" w:type="dxa"/>
          </w:tcPr>
          <w:p>
            <w:pPr>
              <w:jc w:val="center"/>
            </w:pPr>
            <w:r>
              <w:rPr>
                <w:b/>
              </w:rPr>
              <w:t xml:space="preserve">Ref</w:t>
            </w:r>
          </w:p>
        </w:tc>
        <w:tc>
          <w:tcPr>
            <w:tcW w:w="2859" w:type="dxa"/>
          </w:tcPr>
          <w:p>
            <w:pPr>
              <w:jc w:val="center"/>
            </w:pPr>
            <w:r>
              <w:rPr>
                <w:b/>
              </w:rPr>
              <w:t xml:space="preserve">Decision</w:t>
            </w:r>
          </w:p>
        </w:tc>
        <w:tc>
          <w:tcPr>
            <w:tcW w:w="537" w:type="dxa"/>
          </w:tcPr>
          <w:p>
            <w:pPr>
              <w:jc w:val="center"/>
            </w:pPr>
            <w:r>
              <w:rPr>
                <w:b/>
              </w:rPr>
              <w:t xml:space="preserve">Axis</w:t>
            </w:r>
          </w:p>
        </w:tc>
        <w:tc>
          <w:tcPr>
            <w:tcW w:w="477" w:type="dxa"/>
          </w:tcPr>
          <w:p>
            <w:pPr>
              <w:jc w:val="center"/>
            </w:pPr>
            <w:r>
              <w:rPr>
                <w:b/>
              </w:rPr>
              <w:t xml:space="preserve">Today</w:t>
            </w:r>
          </w:p>
        </w:tc>
        <w:tc>
          <w:tcPr>
            <w:tcW w:w="477" w:type="dxa"/>
          </w:tcPr>
          <w:p>
            <w:pPr>
              <w:jc w:val="center"/>
            </w:pPr>
            <w:r>
              <w:rPr>
                <w:b/>
              </w:rPr>
              <w:t xml:space="preserve">Ceiling</w:t>
            </w:r>
          </w:p>
        </w:tc>
        <w:tc>
          <w:tcPr>
            <w:tcW w:w="835" w:type="dxa"/>
          </w:tcPr>
          <w:p>
            <w:pPr>
              <w:jc w:val="center"/>
            </w:pPr>
            <w:r>
              <w:rPr>
                <w:b/>
              </w:rPr>
              <w:t xml:space="preserve">Oracle</w:t>
            </w:r>
          </w:p>
        </w:tc>
        <w:tc>
          <w:tcPr>
            <w:tcW w:w="775" w:type="dxa"/>
          </w:tcPr>
          <w:p>
            <w:pPr>
              <w:jc w:val="center"/>
            </w:pPr>
            <w:r>
              <w:rPr>
                <w:b/>
              </w:rPr>
              <w:t xml:space="preserve">Basis</w:t>
            </w:r>
          </w:p>
        </w:tc>
        <w:tc>
          <w:tcPr>
            <w:tcW w:w="2861" w:type="dxa"/>
          </w:tcPr>
          <w:p>
            <w:pPr>
              <w:jc w:val="center"/>
            </w:pPr>
            <w:r>
              <w:rPr>
                <w:b/>
              </w:rPr>
              <w:t xml:space="preserve">Route, or why not</w:t>
            </w:r>
          </w:p>
        </w:tc>
      </w:tr>
      <w:tr>
        <w:tc>
          <w:tcPr>
            <w:tcW w:w="477" w:type="dxa"/>
          </w:tcPr>
          <w:p>
            <w:r>
              <w:t xml:space="preserve">HP-007</w:t>
            </w:r>
          </w:p>
        </w:tc>
        <w:tc>
          <w:tcPr>
            <w:tcW w:w="2859" w:type="dxa"/>
          </w:tcPr>
          <w:p>
            <w:r>
              <w:t xml:space="preserve">Who owns refunds and address changes</w:t>
            </w:r>
          </w:p>
        </w:tc>
        <w:tc>
          <w:tcPr>
            <w:tcW w:w="537" w:type="dxa"/>
          </w:tcPr>
          <w:p>
            <w:r>
              <w:t xml:space="preserve">authority</w:t>
            </w:r>
          </w:p>
        </w:tc>
        <w:tc>
          <w:tcPr>
            <w:tcW w:w="477" w:type="dxa"/>
          </w:tcPr>
          <w:p>
            <w:r>
              <w:t xml:space="preserve">held</w:t>
            </w:r>
          </w:p>
        </w:tc>
        <w:tc>
          <w:tcPr>
            <w:tcW w:w="477" w:type="dxa"/>
          </w:tcPr>
          <w:p>
            <w:r>
              <w:t xml:space="preserve">held</w:t>
            </w:r>
          </w:p>
        </w:tc>
        <w:tc>
          <w:tcPr>
            <w:tcW w:w="835" w:type="dxa"/>
          </w:tcPr>
          <w:p>
            <w:r>
              <w:t xml:space="preserve">—</w:t>
            </w:r>
          </w:p>
        </w:tc>
        <w:tc>
          <w:tcPr>
            <w:tcW w:w="775" w:type="dxa"/>
          </w:tcPr>
          <w:p>
            <w:r>
              <w:rPr>
                <w:b/>
              </w:rPr>
              <w:t xml:space="preserve">confirmed</w:t>
            </w:r>
          </w:p>
        </w:tc>
        <w:tc>
          <w:tcPr>
            <w:tcW w:w="2861" w:type="dxa"/>
          </w:tcPr>
          <w:p>
            <w:r>
              <w:t xml:space="preserve">by choice: Money and goods move; a named person is accountable every time.</w:t>
            </w:r>
          </w:p>
        </w:tc>
      </w:tr>
      <w:tr>
        <w:tc>
          <w:tcPr>
            <w:tcW w:w="477" w:type="dxa"/>
          </w:tcPr>
          <w:p>
            <w:r>
              <w:t xml:space="preserve">HP-008</w:t>
            </w:r>
          </w:p>
        </w:tc>
        <w:tc>
          <w:tcPr>
            <w:tcW w:w="2859" w:type="dxa"/>
          </w:tcPr>
          <w:p>
            <w:r>
              <w:t xml:space="preserve">Whether the assistant may execute a refund or an address change</w:t>
            </w:r>
          </w:p>
        </w:tc>
        <w:tc>
          <w:tcPr>
            <w:tcW w:w="537" w:type="dxa"/>
          </w:tcPr>
          <w:p>
            <w:r>
              <w:t xml:space="preserve">behaviour</w:t>
            </w:r>
          </w:p>
        </w:tc>
        <w:tc>
          <w:tcPr>
            <w:tcW w:w="477" w:type="dxa"/>
          </w:tcPr>
          <w:p>
            <w:r>
              <w:t xml:space="preserve">held</w:t>
            </w:r>
          </w:p>
        </w:tc>
        <w:tc>
          <w:tcPr>
            <w:tcW w:w="477" w:type="dxa"/>
          </w:tcPr>
          <w:p>
            <w:r>
              <w:t xml:space="preserve">held</w:t>
            </w:r>
          </w:p>
        </w:tc>
        <w:tc>
          <w:tcPr>
            <w:tcW w:w="835" w:type="dxa"/>
          </w:tcPr>
          <w:p>
            <w:r>
              <w:t xml:space="preserve">L3 immediate ⚙</w:t>
            </w:r>
          </w:p>
        </w:tc>
        <w:tc>
          <w:tcPr>
            <w:tcW w:w="775" w:type="dxa"/>
          </w:tcPr>
          <w:p>
            <w:r>
              <w:rPr>
                <w:b/>
              </w:rPr>
              <w:t xml:space="preserve">confirmed</w:t>
            </w:r>
          </w:p>
        </w:tc>
        <w:tc>
          <w:tcPr>
            <w:tcW w:w="2861" w:type="dxa"/>
          </w:tcPr>
          <w:p>
            <w:r>
              <w:t xml:space="preserve">by choice: Irreversible from the customer's side; a person, always.</w:t>
            </w:r>
          </w:p>
        </w:tc>
      </w:tr>
      <w:tr>
        <w:tc>
          <w:tcPr>
            <w:tcW w:w="477" w:type="dxa"/>
          </w:tcPr>
          <w:p>
            <w:r>
              <w:t xml:space="preserve">HP-010</w:t>
            </w:r>
          </w:p>
        </w:tc>
        <w:tc>
          <w:tcPr>
            <w:tcW w:w="2859" w:type="dxa"/>
          </w:tcPr>
          <w:p>
            <w:r>
              <w:t xml:space="preserve">The one-working-day handover target</w:t>
            </w:r>
          </w:p>
        </w:tc>
        <w:tc>
          <w:tcPr>
            <w:tcW w:w="537" w:type="dxa"/>
          </w:tcPr>
          <w:p>
            <w:r>
              <w:t xml:space="preserve">timing</w:t>
            </w:r>
          </w:p>
        </w:tc>
        <w:tc>
          <w:tcPr>
            <w:tcW w:w="477" w:type="dxa"/>
          </w:tcPr>
          <w:p>
            <w:r>
              <w:t xml:space="preserve">held</w:t>
            </w:r>
          </w:p>
        </w:tc>
        <w:tc>
          <w:tcPr>
            <w:tcW w:w="477" w:type="dxa"/>
          </w:tcPr>
          <w:p>
            <w:r>
              <w:t xml:space="preserve">held</w:t>
            </w:r>
          </w:p>
        </w:tc>
        <w:tc>
          <w:tcPr>
            <w:tcW w:w="835" w:type="dxa"/>
          </w:tcPr>
          <w:p>
            <w:r>
              <w:t xml:space="preserve">—</w:t>
            </w:r>
          </w:p>
        </w:tc>
        <w:tc>
          <w:tcPr>
            <w:tcW w:w="775" w:type="dxa"/>
          </w:tcPr>
          <w:p>
            <w:r>
              <w:rPr>
                <w:b/>
              </w:rPr>
              <w:t xml:space="preserve">confirmed</w:t>
            </w:r>
          </w:p>
        </w:tc>
        <w:tc>
          <w:tcPr>
            <w:tcW w:w="2861" w:type="dxa"/>
          </w:tcPr>
          <w:p>
            <w:r>
              <w:t xml:space="preserve">by design: A service commitment Jon makes to customers; not a capability question.</w:t>
            </w:r>
          </w:p>
        </w:tc>
      </w:tr>
      <w:tr>
        <w:tc>
          <w:tcPr>
            <w:tcW w:w="477" w:type="dxa"/>
          </w:tcPr>
          <w:p>
            <w:r>
              <w:t xml:space="preserve">HP-015</w:t>
            </w:r>
          </w:p>
        </w:tc>
        <w:tc>
          <w:tcPr>
            <w:tcW w:w="2859" w:type="dxa"/>
          </w:tcPr>
          <w:p>
            <w:r>
              <w:t xml:space="preserve">The acceptance thresholds</w:t>
            </w:r>
          </w:p>
        </w:tc>
        <w:tc>
          <w:tcPr>
            <w:tcW w:w="537" w:type="dxa"/>
          </w:tcPr>
          <w:p>
            <w:r>
              <w:t xml:space="preserve">judgement</w:t>
            </w:r>
          </w:p>
        </w:tc>
        <w:tc>
          <w:tcPr>
            <w:tcW w:w="477" w:type="dxa"/>
          </w:tcPr>
          <w:p>
            <w:r>
              <w:t xml:space="preserve">held</w:t>
            </w:r>
          </w:p>
        </w:tc>
        <w:tc>
          <w:tcPr>
            <w:tcW w:w="477" w:type="dxa"/>
          </w:tcPr>
          <w:p>
            <w:r>
              <w:t xml:space="preserve">held</w:t>
            </w:r>
          </w:p>
        </w:tc>
        <w:tc>
          <w:tcPr>
            <w:tcW w:w="835" w:type="dxa"/>
          </w:tcPr>
          <w:p>
            <w:r>
              <w:t xml:space="preserve">—</w:t>
            </w:r>
          </w:p>
        </w:tc>
        <w:tc>
          <w:tcPr>
            <w:tcW w:w="775" w:type="dxa"/>
          </w:tcPr>
          <w:p>
            <w:r>
              <w:rPr>
                <w:b/>
              </w:rPr>
              <w:t xml:space="preserve">confirmed</w:t>
            </w:r>
          </w:p>
        </w:tc>
        <w:tc>
          <w:tcPr>
            <w:tcW w:w="2861" w:type="dxa"/>
          </w:tcPr>
          <w:p>
            <w:r>
              <w:t xml:space="preserve">unbounded: A risk appetite; no golden set could ever be frozen for it.</w:t>
            </w:r>
          </w:p>
        </w:tc>
      </w:tr>
      <w:tr>
        <w:tc>
          <w:tcPr>
            <w:tcW w:w="477" w:type="dxa"/>
          </w:tcPr>
          <w:p>
            <w:r>
              <w:t xml:space="preserve">HP-018</w:t>
            </w:r>
          </w:p>
        </w:tc>
        <w:tc>
          <w:tcPr>
            <w:tcW w:w="2859" w:type="dxa"/>
          </w:tcPr>
          <w:p>
            <w:r>
              <w:t xml:space="preserve">Who may read the records</w:t>
            </w:r>
          </w:p>
        </w:tc>
        <w:tc>
          <w:tcPr>
            <w:tcW w:w="537" w:type="dxa"/>
          </w:tcPr>
          <w:p>
            <w:r>
              <w:t xml:space="preserve">authority</w:t>
            </w:r>
          </w:p>
        </w:tc>
        <w:tc>
          <w:tcPr>
            <w:tcW w:w="477" w:type="dxa"/>
          </w:tcPr>
          <w:p>
            <w:r>
              <w:t xml:space="preserve">held</w:t>
            </w:r>
          </w:p>
        </w:tc>
        <w:tc>
          <w:tcPr>
            <w:tcW w:w="477" w:type="dxa"/>
          </w:tcPr>
          <w:p>
            <w:r>
              <w:t xml:space="preserve">held</w:t>
            </w:r>
          </w:p>
        </w:tc>
        <w:tc>
          <w:tcPr>
            <w:tcW w:w="835" w:type="dxa"/>
          </w:tcPr>
          <w:p>
            <w:r>
              <w:t xml:space="preserve">—</w:t>
            </w:r>
          </w:p>
        </w:tc>
        <w:tc>
          <w:tcPr>
            <w:tcW w:w="775" w:type="dxa"/>
          </w:tcPr>
          <w:p>
            <w:r>
              <w:rPr>
                <w:b/>
              </w:rPr>
              <w:t xml:space="preserve">confirmed</w:t>
            </w:r>
          </w:p>
        </w:tc>
        <w:tc>
          <w:tcPr>
            <w:tcW w:w="2861" w:type="dxa"/>
          </w:tcPr>
          <w:p>
            <w:r>
              <w:t xml:space="preserve">by choice: Access to customer conversations is Jon's to grant, every time.</w:t>
            </w:r>
          </w:p>
        </w:tc>
      </w:tr>
      <w:tr>
        <w:tc>
          <w:tcPr>
            <w:tcW w:w="477" w:type="dxa"/>
          </w:tcPr>
          <w:p>
            <w:r>
              <w:t xml:space="preserve">HP-019</w:t>
            </w:r>
          </w:p>
        </w:tc>
        <w:tc>
          <w:tcPr>
            <w:tcW w:w="2859" w:type="dxa"/>
          </w:tcPr>
          <w:p>
            <w:r>
              <w:t xml:space="preserve">No real customer data before access and retention are approved</w:t>
            </w:r>
          </w:p>
        </w:tc>
        <w:tc>
          <w:tcPr>
            <w:tcW w:w="537" w:type="dxa"/>
          </w:tcPr>
          <w:p>
            <w:r>
              <w:t xml:space="preserve">behaviour</w:t>
            </w:r>
          </w:p>
        </w:tc>
        <w:tc>
          <w:tcPr>
            <w:tcW w:w="477" w:type="dxa"/>
          </w:tcPr>
          <w:p>
            <w:r>
              <w:t xml:space="preserve">held</w:t>
            </w:r>
          </w:p>
        </w:tc>
        <w:tc>
          <w:tcPr>
            <w:tcW w:w="477" w:type="dxa"/>
          </w:tcPr>
          <w:p>
            <w:r>
              <w:t xml:space="preserve">held</w:t>
            </w:r>
          </w:p>
        </w:tc>
        <w:tc>
          <w:tcPr>
            <w:tcW w:w="835" w:type="dxa"/>
          </w:tcPr>
          <w:p>
            <w:r>
              <w:t xml:space="preserve">L3 immediate ⚙</w:t>
            </w:r>
          </w:p>
        </w:tc>
        <w:tc>
          <w:tcPr>
            <w:tcW w:w="775" w:type="dxa"/>
          </w:tcPr>
          <w:p>
            <w:r>
              <w:rPr>
                <w:b/>
              </w:rPr>
              <w:t xml:space="preserve">confirmed</w:t>
            </w:r>
          </w:p>
        </w:tc>
        <w:tc>
          <w:tcPr>
            <w:tcW w:w="2861" w:type="dxa"/>
          </w:tcPr>
          <w:p>
            <w:r>
              <w:t xml:space="preserve">by choice: A prohibition with an end condition: it holds absolutely until retention is approved, and is revisited then. — until HP-020 settle</w:t>
            </w:r>
          </w:p>
        </w:tc>
      </w:tr>
      <w:tr>
        <w:tc>
          <w:tcPr>
            <w:tcW w:w="477" w:type="dxa"/>
          </w:tcPr>
          <w:p>
            <w:r>
              <w:t xml:space="preserve">HP-020</w:t>
            </w:r>
          </w:p>
        </w:tc>
        <w:tc>
          <w:tcPr>
            <w:tcW w:w="2859" w:type="dxa"/>
          </w:tcPr>
          <w:p>
            <w:r>
              <w:t xml:space="preserve">How long the records are kept</w:t>
            </w:r>
          </w:p>
        </w:tc>
        <w:tc>
          <w:tcPr>
            <w:tcW w:w="537" w:type="dxa"/>
          </w:tcPr>
          <w:p>
            <w:r>
              <w:t xml:space="preserve">authority</w:t>
            </w:r>
          </w:p>
        </w:tc>
        <w:tc>
          <w:tcPr>
            <w:tcW w:w="477" w:type="dxa"/>
          </w:tcPr>
          <w:p>
            <w:r>
              <w:t xml:space="preserve">held</w:t>
            </w:r>
          </w:p>
        </w:tc>
        <w:tc>
          <w:tcPr>
            <w:tcW w:w="477" w:type="dxa"/>
          </w:tcPr>
          <w:p>
            <w:r>
              <w:t xml:space="preserve">held</w:t>
            </w:r>
          </w:p>
        </w:tc>
        <w:tc>
          <w:tcPr>
            <w:tcW w:w="835" w:type="dxa"/>
          </w:tcPr>
          <w:p>
            <w:r>
              <w:t xml:space="preserve">—</w:t>
            </w:r>
          </w:p>
        </w:tc>
        <w:tc>
          <w:tcPr>
            <w:tcW w:w="775" w:type="dxa"/>
          </w:tcPr>
          <w:p>
            <w:r>
              <w:rPr>
                <w:b/>
              </w:rPr>
              <w:t xml:space="preserve">confirmed</w:t>
            </w:r>
          </w:p>
        </w:tc>
        <w:tc>
          <w:tcPr>
            <w:tcW w:w="2861" w:type="dxa"/>
          </w:tcPr>
          <w:p>
            <w:r>
              <w:t xml:space="preserve">by choice: A commitment about customers' data; a person's, always.</w:t>
            </w:r>
          </w:p>
        </w:tc>
      </w:tr>
    </w:tbl>
    <w:p>
      <w:pPr>
        <w:pStyle w:val="Heading2"/>
      </w:pPr>
      <w:r>
        <w:t xml:space="preserve">Probably not a capability question — unconfirmed (1)</w:t>
      </w:r>
    </w:p>
    <w:p>
      <w:r>
        <w:t xml:space="preserve">Authority and timing decisions, where the axis alone suggests no model score would change the answer. </w:t>
      </w:r>
      <w:r>
        <w:rPr>
          <w:b/>
        </w:rPr>
        <w:t xml:space="preserve">Nobody has written a reason for any of these</w:t>
      </w:r>
      <w:r>
        <w:t xml:space="preserve">, so this is the instrument's prior and not a finding: it is counted as unassessed above, not as </w:t>
      </w:r>
      <w:r>
        <w:rPr>
          <w:i/>
        </w:rPr>
        <w:t xml:space="preserve">Never</w:t>
      </w:r>
      <w:r>
        <w:t xml:space="preserve">. Read it as a list of questions for the room. Expect some to move — a timing rule such as when a specification is frozen is often exactly what a machine enforces best.</w:t>
      </w:r>
    </w:p>
    <w:p>
      <w:pPr>
        <w:pStyle w:val="ListParagraph"/>
        <w:numPr>
          <w:ilvl w:val="0"/>
          <w:numId w:val="1"/>
        </w:numPr>
      </w:pPr>
      <w:r>
        <w:rPr>
          <w:b/>
        </w:rPr>
        <w:t xml:space="preserve">HP-012</w:t>
      </w:r>
      <w:r>
        <w:t xml:space="preserve"> Whether the handover target holds outside working days · </w:t>
      </w:r>
      <w:r>
        <w:rPr>
          <w:i/>
        </w:rPr>
        <w:t xml:space="preserve">timing</w:t>
      </w:r>
    </w:p>
    <w:p>
      <w:pPr>
        <w:pBdr>
          <w:bottom w:val="single" w:sz="6" w:space="1" w:color="auto"/>
        </w:pBdr>
      </w:pPr>
    </w:p>
    <w:p>
      <w:r>
        <w:rPr>
          <w:i/>
        </w:rPr>
        <w:t xml:space="preserve">Today</w:t>
      </w:r>
      <w:r>
        <w:t xml:space="preserve"> is where the decision sits on the ladder — held, instrumented, shadow, proposing, automated. </w:t>
      </w:r>
      <w:r>
        <w:rPr>
          <w:i/>
        </w:rPr>
        <w:t xml:space="preserve">Ceiling</w:t>
      </w:r>
      <w:r>
        <w:t xml:space="preserve"> is the highest it may reach, with its reason. </w:t>
      </w:r>
      <w:r>
        <w:rPr>
          <w:i/>
        </w:rPr>
        <w:t xml:space="preserve">Oracle</w:t>
      </w:r>
      <w:r>
        <w:t xml:space="preserve"> is how correctness is established without a person: L0 none, L1 a set built once, L2 machine but late, L3 machine and immediate; ⚙ marks an immediate check — a rule, not a model. </w:t>
      </w:r>
      <w:r>
        <w:rPr>
          <w:i/>
        </w:rPr>
        <w:t xml:space="preserve">Basis</w:t>
      </w:r>
      <w:r>
        <w:t xml:space="preserve"> is where the rung came from; </w:t>
      </w:r>
      <w:r>
        <w:rPr>
          <w:b/>
        </w:rPr>
        <w:t xml:space="preserve">granted</w:t>
      </w:r>
      <w:r>
        <w:t xml:space="preserve"> means authority was extended ahead of evidence, deliberately, and the row names who and until when. ⚠ marks a running rung with no stated limits. </w:t>
      </w:r>
      <w:r>
        <w:rPr>
          <w:i/>
        </w:rPr>
        <w:t xml:space="preserve">Route</w:t>
      </w:r>
      <w:r>
        <w:t xml:space="preserve"> is the evidence that would move it; </w:t>
      </w:r>
      <w:r>
        <w:rPr>
          <w:i/>
        </w:rPr>
        <w:t xml:space="preserve">by design</w:t>
      </w:r>
      <w:r>
        <w:t xml:space="preserve"> means it stays with a person on purpose — </w:t>
      </w:r>
      <w:r>
        <w:rPr>
          <w:i/>
        </w:rPr>
        <w:t xml:space="preserve">unbounded</w:t>
      </w:r>
      <w:r>
        <w:t xml:space="preserve"> where the author says no golden set could ever be frozen, </w:t>
      </w:r>
      <w:r>
        <w:rPr>
          <w:i/>
        </w:rPr>
        <w:t xml:space="preserve">by choice</w:t>
      </w:r>
      <w:r>
        <w:t xml:space="preserve"> where a machine could check it and the organisation keeps it anyway; </w:t>
      </w:r>
      <w:r>
        <w:rPr>
          <w:i/>
        </w:rPr>
        <w:t xml:space="preserve">until …</w:t>
      </w:r>
      <w:r>
        <w:t xml:space="preserve"> marks a restriction that lifts for review when named decisions settle; </w:t>
      </w:r>
      <w:r>
        <w:rPr>
          <w:i/>
        </w:rPr>
        <w:t xml:space="preserve">(axis default)</w:t>
      </w:r>
      <w:r>
        <w:t xml:space="preserve"> means the author wrote no reason and the page is guessing from the axis.</w:t>
      </w:r>
    </w:p>
    <w:sectPr>
      <w:headerReference w:type="default" r:id="rHeader"/>
      <w:headerReference w:type="first" r:id="rFirst"/>
      <w:footerReference w:type="default" r:id="rFooter"/>
      <w:footerReference w:type="first" r:id="rFooter"/>
      <w:pgSz w:w="11906" w:h="16838"/>
      <w:pgMar w:top="2100" w:right="1304" w:bottom="1300" w:left="1304" w:header="620" w:footer="640"/>
      <w:titlePg/>
    </w:sectPr>
  </w:body>
</w:document>
</file>

<file path=word/footer.xml><?xml version="1.0" encoding="utf-8"?>
<w:ftr xmlns:w="http://schemas.openxmlformats.org/wordprocessingml/2006/main">
  <w:p>
    <w:pPr>
      <w:pBdr>
        <w:top w:val="single" w:sz="4" w:space="10" w:color="DCE2E7"/>
      </w:pBdr>
      <w:tabs>
        <w:tab w:val="right" w:pos="9298"/>
      </w:tabs>
      <w:spacing w:before="120" w:after="0"/>
    </w:pPr>
    <w:r>
      <w:rPr>
        <w:sz w:val="16"/>
        <w:color w:val="6A7884"/>
      </w:rPr>
      <w:t>Holosun ApS · CVR 44324687 · sunholo.com</w:t>
      <w:tab/>
    </w:r>
    <w:fldSimple w:instr="PAGE">
      <w:r>
        <w:rPr>
          <w:sz w:val="16"/>
          <w:color w:val="6A7884"/>
        </w:rPr>
        <w:t>1</w:t>
      </w:r>
    </w:fldSimple>
  </w:p>
</w:ftr>
</file>

<file path=word/header-first.xml><?xml version="1.0" encoding="utf-8"?>
<w:hdr xmlns:w="http://schemas.openxmlformats.org/wordprocessingml/2006/main" xmlns:r="http://schemas.openxmlformats.org/officeDocument/2006/relationships">
  <w:p>
    <w:pPr>
      <w:spacing w:after="70"/>
      <w:tabs>
        <w:tab w:val="right" w:pos="9298"/>
      </w:tabs>
    </w:pPr>
    <w:r>
      <w:drawing>
        <wp:inline xmlns:wp="http://schemas.openxmlformats.org/drawingml/2006/wordprocessingDrawing" distT="0" distB="0" distL="0" distR="0">
          <wp:extent cx="640000" cy="640000"/>
          <wp:docPr id="1" name="Brand logo" descr="Holosun ApS logo"/>
          <a:graphic xmlns:a="http://schemas.openxmlformats.org/drawingml/2006/main">
            <a:graphicData uri="http://schemas.openxmlformats.org/drawingml/2006/picture">
              <pic:pic xmlns:pic="http://schemas.openxmlformats.org/drawingml/2006/picture">
                <pic:nvPicPr>
                  <pic:cNvPr id="0" name="brand.png"/>
                  <pic:cNvPicPr/>
                </pic:nvPicPr>
                <pic:blipFill>
                  <a:blip r:embed="rLogo"/>
                  <a:stretch>
                    <a:fillRect/>
                  </a:stretch>
                </pic:blipFill>
                <pic:spPr>
                  <a:xfrm>
                    <a:off x="0" y="0"/>
                    <a:ext cx="640000" cy="640000"/>
                  </a:xfrm>
                  <a:prstGeom prst="rect">
                    <a:avLst/>
                  </a:prstGeom>
                </pic:spPr>
              </pic:pic>
            </a:graphicData>
          </a:graphic>
        </wp:inline>
      </w:drawing>
    </w:r>
    <w:r>
      <w:rPr>
        <w:rFonts w:ascii="Montserrat" w:hAnsi="Montserrat"/>
        <w:b/>
        <w:color w:val="314352"/>
        <w:sz w:val="48"/>
        <w:position w:val="30"/>
      </w:rPr>
      <w:t xml:space="preserve"> Holosun ApS</w:t>
    </w:r>
    <w:r>
      <w:rPr>
        <w:sz w:val="17"/>
        <w:color w:val="6A7884"/>
        <w:position w:val="30"/>
      </w:rPr>
      <w:tab/>
      <w:t>DECISION BUDGET</w:t>
    </w:r>
  </w:p>
  <w:p>
    <w:pPr>
      <w:spacing w:after="0"/>
      <w:jc w:val="left"/>
    </w:pPr>
    <w:r>
      <w:rPr>
        <w:sz w:val="17"/>
        <w:color w:val="6A7884"/>
      </w:rPr>
      <w:t>Technology · Engineering · Delivery</w:t>
    </w:r>
  </w:p>
</w:hdr>
</file>

<file path=word/header.xml><?xml version="1.0" encoding="utf-8"?>
<w:hdr xmlns:w="http://schemas.openxmlformats.org/wordprocessingml/2006/main" xmlns:r="http://schemas.openxmlformats.org/officeDocument/2006/relationships">
  <w:p>
    <w:pPr>
      <w:spacing w:after="70"/>
      <w:tabs>
        <w:tab w:val="right" w:pos="9298"/>
      </w:tabs>
    </w:pPr>
    <w:r>
      <w:drawing>
        <wp:inline xmlns:wp="http://schemas.openxmlformats.org/drawingml/2006/wordprocessingDrawing" distT="0" distB="0" distL="0" distR="0">
          <wp:extent cx="300000" cy="300000"/>
          <wp:docPr id="1" name="Brand logo" descr="Holosun ApS logo"/>
          <a:graphic xmlns:a="http://schemas.openxmlformats.org/drawingml/2006/main">
            <a:graphicData uri="http://schemas.openxmlformats.org/drawingml/2006/picture">
              <pic:pic xmlns:pic="http://schemas.openxmlformats.org/drawingml/2006/picture">
                <pic:nvPicPr>
                  <pic:cNvPr id="0" name="brand.png"/>
                  <pic:cNvPicPr/>
                </pic:nvPicPr>
                <pic:blipFill>
                  <a:blip r:embed="rLogo"/>
                  <a:stretch>
                    <a:fillRect/>
                  </a:stretch>
                </pic:blipFill>
                <pic:spPr>
                  <a:xfrm>
                    <a:off x="0" y="0"/>
                    <a:ext cx="300000" cy="300000"/>
                  </a:xfrm>
                  <a:prstGeom prst="rect">
                    <a:avLst/>
                  </a:prstGeom>
                </pic:spPr>
              </pic:pic>
            </a:graphicData>
          </a:graphic>
        </wp:inline>
      </w:drawing>
    </w:r>
    <w:r>
      <w:rPr>
        <w:rFonts w:ascii="Montserrat" w:hAnsi="Montserrat"/>
        <w:b/>
        <w:color w:val="314352"/>
        <w:sz w:val="25"/>
        <w:position w:val="14"/>
      </w:rPr>
      <w:t xml:space="preserve"> Holosun ApS</w:t>
    </w:r>
    <w:r>
      <w:rPr>
        <w:sz w:val="17"/>
        <w:color w:val="6A7884"/>
        <w:position w:val="14"/>
      </w:rPr>
      <w:tab/>
      <w:t>DECISION BUDGET</w:t>
    </w:r>
  </w:p>
  <w:p>
    <w:pPr>
      <w:spacing w:after="0"/>
      <w:jc w:val="left"/>
    </w:pPr>
    <w:r>
      <w:rPr>
        <w:sz w:val="17"/>
        <w:color w:val="6A7884"/>
      </w:rPr>
      <w:t>Technology · Engineering · Delivery</w:t>
    </w:r>
  </w:p>
</w:hd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rFonts w:ascii="Symbol" w:hAnsi="Symbol" w:hint="default"/>
      </w:rPr>
    </w:lvl>
  </w:abstractNum>
  <w:abstractNum w:abstractNumId="2">
    <w:multiLevelType w:val="hybridMultilevel"/>
    <w:lvl w:ilvl="0">
      <w:start w:val="1"/>
      <w:numFmt w:val="decimal"/>
      <w:lvlText w:val="%1."/>
      <w:lvlJc w:val="left"/>
      <w:pPr>
        <w:ind w:left="720" w:hanging="360"/>
      </w:pPr>
    </w:lvl>
  </w:abstractNum>
  <w:num w:numId="1">
    <w:abstractNumId w:val="1"/>
  </w:num>
  <w:num w:numId="2">
    <w:abstractNumId w:val="2"/>
  </w:num>
</w:numbering>
</file>

<file path=word/styles.xml><?xml version="1.0" encoding="utf-8"?>
<w:styles xmlns:w="http://schemas.openxmlformats.org/wordprocessingml/2006/main">
  <w:docDefaults>
    <w:rPrDefault>
      <w:rPr>
        <w:rFonts w:ascii="Arial" w:hAnsi="Arial" w:cs="Arial"/>
        <w:color w:val="314352"/>
        <w:sz w:val="22"/>
        <w:lang w:val="en-GB"/>
      </w:rPr>
    </w:rPrDefault>
    <w:pPrDefault>
      <w:pPr>
        <w:spacing w:after="160" w:line="288" w:lineRule="auto"/>
        <w:widowControl/>
      </w:pPr>
    </w:pPrDefault>
  </w:docDefaults>
  <w:style w:type="paragraph" w:default="1" w:styleId="Normal">
    <w:name w:val="Normal"/>
    <w:qFormat/>
  </w:style>
  <w:style w:type="paragraph" w:styleId="Heading1">
    <w:name w:val="heading 1"/>
    <w:basedOn w:val="Normal"/>
    <w:next w:val="Normal"/>
    <w:qFormat/>
    <w:pPr>
      <w:keepNext/>
      <w:keepLines/>
      <w:pageBreakBefore/>
      <w:pBdr>
        <w:bottom w:val="single" w:sz="14" w:space="12" w:color="E73C17"/>
      </w:pBdr>
      <w:spacing w:before="280" w:after="180"/>
      <w:outlineLvl w:val="0"/>
    </w:pPr>
    <w:rPr>
      <w:rFonts w:ascii="Montserrat" w:hAnsi="Montserrat"/>
      <w:b/>
      <w:color w:val="314352"/>
      <w:sz w:val="50"/>
    </w:rPr>
  </w:style>
  <w:style w:type="paragraph" w:styleId="Heading2">
    <w:name w:val="heading 2"/>
    <w:basedOn w:val="Normal"/>
    <w:next w:val="Normal"/>
    <w:qFormat/>
    <w:pPr>
      <w:keepNext/>
      <w:keepLines/>
      <w:spacing w:before="300" w:after="180"/>
      <w:outlineLvl w:val="1"/>
    </w:pPr>
    <w:rPr>
      <w:rFonts w:ascii="Montserrat" w:hAnsi="Montserrat"/>
      <w:b/>
      <w:color w:val="314352"/>
      <w:sz w:val="27"/>
    </w:rPr>
  </w:style>
  <w:style w:type="paragraph" w:styleId="Heading3">
    <w:name w:val="heading 3"/>
    <w:basedOn w:val="Normal"/>
    <w:next w:val="Normal"/>
    <w:qFormat/>
    <w:pPr>
      <w:keepNext/>
      <w:keepLines/>
      <w:spacing w:before="200" w:after="180"/>
      <w:outlineLvl w:val="2"/>
    </w:pPr>
    <w:rPr>
      <w:rFonts w:ascii="Montserrat" w:hAnsi="Montserrat"/>
      <w:b/>
      <w:color w:val="B52D10"/>
      <w:sz w:val="23"/>
    </w:rPr>
  </w:style>
  <w:style w:type="paragraph" w:styleId="ListParagraph">
    <w:name w:val="List Paragraph"/>
    <w:basedOn w:val="Normal"/>
    <w:pPr>
      <w:spacing w:after="110"/>
      <w:ind w:left="360"/>
    </w:pPr>
  </w:style>
  <w:style w:type="character" w:styleId="Hyperlink">
    <w:name w:val="Hyperlink"/>
    <w:rPr>
      <w:color w:val="B52D10"/>
      <w:u w:val="single"/>
    </w:rPr>
  </w:style>
  <w:style w:type="table" w:styleId="SunholoTable">
    <w:name w:val="Sunholo Table"/>
    <w:pPr>
      <w:spacing w:before="0" w:after="60" w:line="260" w:lineRule="auto"/>
    </w:pPr>
    <w:rPr>
      <w:rFonts w:ascii="Arial" w:hAnsi="Arial" w:cs="Arial"/>
      <w:sz w:val="20"/>
      <w:color w:val="314352"/>
    </w:rPr>
    <w:tblPr>
      <w:tblBorders>
        <w:top w:val="single" w:sz="8" w:color="E73C17"/>
        <w:bottom w:val="single" w:sz="4" w:color="DCE2E7"/>
        <w:insideH w:val="single" w:sz="4" w:color="DCE2E7"/>
      </w:tblBorders>
      <w:tblCellMar>
        <w:top w:w="130" w:type="dxa"/>
        <w:left w:w="130" w:type="dxa"/>
        <w:bottom w:w="130" w:type="dxa"/>
        <w:right w:w="130" w:type="dxa"/>
      </w:tblCellMar>
    </w:tblPr>
    <w:tblStylePr w:type="firstRow">
      <w:rPr>
        <w:b/>
        <w:color w:val="314352"/>
      </w:rPr>
      <w:tcPr>
        <w:shd w:fill="F6F8FA"/>
      </w:tcPr>
    </w:tblStylePr>
  </w:style>
  <w:style w:type="paragraph" w:styleId="Heading4">
    <w:name w:val="heading 4"/>
    <w:basedOn w:val="Normal"/>
    <w:next w:val="Normal"/>
    <w:pPr>
      <w:keepNext/>
      <w:keepLines/>
      <w:spacing w:before="240" w:after="120"/>
      <w:outlineLvl w:val="3"/>
    </w:pPr>
    <w:rPr>
      <w:b/>
      <w:sz w:val="24"/>
      <w:color w:val="314352"/>
    </w:rPr>
  </w:style>
  <w:style w:type="paragraph" w:styleId="Heading5">
    <w:name w:val="heading 5"/>
    <w:pPr>
      <w:spacing w:before="240" w:after="120"/>
    </w:pPr>
    <w:rPr>
      <w:b/>
      <w:sz w:val="16"/>
    </w:rPr>
  </w:style>
  <w:style w:type="paragraph" w:styleId="Heading6">
    <w:name w:val="heading 6"/>
    <w:pPr>
      <w:spacing w:before="240" w:after="120"/>
    </w:pPr>
    <w:rPr>
      <w:b/>
      <w:sz w:val="14"/>
    </w:rPr>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Header" Type="http://schemas.openxmlformats.org/officeDocument/2006/relationships/header" Target="header.xml"/><Relationship Id="rFirst" Type="http://schemas.openxmlformats.org/officeDocument/2006/relationships/header" Target="header-first.xml"/><Relationship Id="rFooter" Type="http://schemas.openxmlformats.org/officeDocument/2006/relationships/footer" Target="footer.xml"/><Relationship Id="rIdNumbering" Type="http://schemas.openxmlformats.org/officeDocument/2006/relationships/numbering" Target="numbering.xml"/></Relationships>
</file>

<file path=word/_rels/header-first.xml.rels><?xml version="1.0" encoding="UTF-8" standalone="yes"?><Relationships xmlns="http://schemas.openxmlformats.org/package/2006/relationships"><Relationship Id="rLogo" Type="http://schemas.openxmlformats.org/officeDocument/2006/relationships/image" Target="media/brand.png"/></Relationships>
</file>

<file path=word/_rels/header.xml.rels><?xml version="1.0" encoding="UTF-8" standalone="yes"?><Relationships xmlns="http://schemas.openxmlformats.org/package/2006/relationships"><Relationship Id="rLogo" Type="http://schemas.openxmlformats.org/officeDocument/2006/relationships/image" Target="media/brand.png"/></Relationships>
</file>

<file path=docProps/core.xml><?xml version="1.0" encoding="utf-8"?>
<cp:coreProperties xmlns:cp="http://schemas.openxmlformats.org/package/2006/metadata/core-properties" xmlns:dc="http://purl.org/dc/elements/1.1/" xmlns:dcterms="http://purl.org/dc/terms/" xmlns:xsi="http://www.w3.org/2001/XMLSchema-instance"/>
</file>